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6797C" w14:textId="77777777" w:rsidR="002D66A7" w:rsidRPr="006475AF" w:rsidRDefault="002D66A7" w:rsidP="003D387F">
      <w:pPr>
        <w:pStyle w:val="Intestazione"/>
        <w:tabs>
          <w:tab w:val="clear" w:pos="4536"/>
          <w:tab w:val="clear" w:pos="9072"/>
        </w:tabs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  <w:sectPr w:rsidR="002D66A7" w:rsidRPr="006475AF" w:rsidSect="009D503C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985" w:right="1123" w:bottom="-1418" w:left="992" w:header="425" w:footer="947" w:gutter="0"/>
          <w:cols w:space="708"/>
          <w:titlePg/>
          <w:docGrid w:linePitch="360"/>
        </w:sectPr>
      </w:pPr>
    </w:p>
    <w:p w14:paraId="7FF80BCF" w14:textId="397244BE" w:rsidR="00080B2B" w:rsidRPr="006475AF" w:rsidRDefault="00080B2B" w:rsidP="003D387F">
      <w:pPr>
        <w:spacing w:line="360" w:lineRule="auto"/>
        <w:jc w:val="center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lastRenderedPageBreak/>
        <w:t>TREND MONITOR®</w:t>
      </w:r>
    </w:p>
    <w:p w14:paraId="69EA0D64" w14:textId="77777777" w:rsidR="00080B2B" w:rsidRPr="004D2DEA" w:rsidRDefault="00080B2B" w:rsidP="003D387F">
      <w:pPr>
        <w:spacing w:line="360" w:lineRule="auto"/>
        <w:jc w:val="center"/>
        <w:rPr>
          <w:rFonts w:ascii="Century Gothic" w:hAnsi="Century Gothic"/>
          <w:color w:val="000000" w:themeColor="text1"/>
          <w:sz w:val="44"/>
          <w:szCs w:val="44"/>
          <w:lang w:val="it-IT"/>
        </w:rPr>
      </w:pPr>
      <w:r w:rsidRPr="004D2DEA">
        <w:rPr>
          <w:rFonts w:ascii="Century Gothic" w:hAnsi="Century Gothic"/>
          <w:b/>
          <w:bCs/>
          <w:color w:val="000000" w:themeColor="text1"/>
          <w:sz w:val="44"/>
          <w:szCs w:val="44"/>
          <w:lang w:val="it-IT"/>
        </w:rPr>
        <w:t>#DARK!</w:t>
      </w:r>
    </w:p>
    <w:p w14:paraId="40AF8F7F" w14:textId="004AD741" w:rsidR="00080B2B" w:rsidRPr="006475AF" w:rsidRDefault="00080B2B" w:rsidP="006475AF">
      <w:pPr>
        <w:spacing w:line="360" w:lineRule="auto"/>
        <w:jc w:val="center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FORECAST 2019-2020</w:t>
      </w:r>
    </w:p>
    <w:p w14:paraId="2A20CBD6" w14:textId="77777777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                   </w:t>
      </w:r>
    </w:p>
    <w:p w14:paraId="47389C45" w14:textId="77777777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Le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tendenze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sono, per chi opera nel mercato globale, opportunità di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posizionamento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differenziale, drivers di </w:t>
      </w:r>
      <w:r w:rsidRPr="00954377">
        <w:rPr>
          <w:rFonts w:ascii="Century Gothic" w:hAnsi="Century Gothic"/>
          <w:b/>
          <w:color w:val="808080" w:themeColor="background1" w:themeShade="80"/>
          <w:lang w:val="it-IT"/>
        </w:rPr>
        <w:t>i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nnovazione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, raccolta di nuovi </w:t>
      </w:r>
      <w:proofErr w:type="spellStart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insight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e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ispirazione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per interventi di mercato performanti. </w:t>
      </w:r>
    </w:p>
    <w:p w14:paraId="61CFE080" w14:textId="77777777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color w:val="808080" w:themeColor="background1" w:themeShade="80"/>
          <w:lang w:val="it-IT"/>
        </w:rPr>
        <w:t> </w:t>
      </w:r>
    </w:p>
    <w:p w14:paraId="7EE47BBE" w14:textId="0E23005F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Il rapporto di ricerca di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TREND MONITOR®</w:t>
      </w:r>
      <w:r w:rsidR="003D387F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, annualmente redatto da </w:t>
      </w:r>
      <w:proofErr w:type="spellStart"/>
      <w:r w:rsidR="003D387F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baba</w:t>
      </w:r>
      <w:proofErr w:type="spellEnd"/>
      <w:r w:rsidR="003D387F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-</w:t>
      </w:r>
      <w:r w:rsidR="00954377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Istituto di ricerca di mercato e analisi di scenario (</w:t>
      </w:r>
      <w:hyperlink r:id="rId13" w:history="1">
        <w:r w:rsidR="00954377" w:rsidRPr="00954377">
          <w:rPr>
            <w:rStyle w:val="Collegamentoipertestuale"/>
            <w:rFonts w:ascii="Century Gothic" w:hAnsi="Century Gothic"/>
            <w:b/>
            <w:bCs/>
            <w:lang w:val="it-IT"/>
          </w:rPr>
          <w:t>www.</w:t>
        </w:r>
        <w:r w:rsidRPr="00954377">
          <w:rPr>
            <w:rStyle w:val="Collegamentoipertestuale"/>
            <w:rFonts w:ascii="Century Gothic" w:hAnsi="Century Gothic"/>
            <w:b/>
            <w:bCs/>
            <w:lang w:val="it-IT"/>
          </w:rPr>
          <w:t>babaconsulting.com</w:t>
        </w:r>
      </w:hyperlink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) -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interviene nell</w:t>
      </w:r>
      <w:r w:rsidR="003D387F" w:rsidRPr="006475AF">
        <w:rPr>
          <w:rFonts w:ascii="Century Gothic" w:hAnsi="Century Gothic"/>
          <w:color w:val="808080" w:themeColor="background1" w:themeShade="80"/>
          <w:lang w:val="it-IT"/>
        </w:rPr>
        <w:t xml:space="preserve">’attività di </w:t>
      </w:r>
      <w:proofErr w:type="spellStart"/>
      <w:r w:rsidR="003D387F" w:rsidRPr="006475AF">
        <w:rPr>
          <w:rFonts w:ascii="Century Gothic" w:hAnsi="Century Gothic"/>
          <w:color w:val="808080" w:themeColor="background1" w:themeShade="80"/>
          <w:lang w:val="it-IT"/>
        </w:rPr>
        <w:t>forecast</w:t>
      </w:r>
      <w:proofErr w:type="spellEnd"/>
      <w:r w:rsidR="003D387F"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forte di questa idea di tendenza, con un modello di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monitoraggio quali-quantitativo unico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: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collection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dei segnali, analisi e ma</w:t>
      </w:r>
      <w:r w:rsidR="003D387F" w:rsidRPr="006475AF">
        <w:rPr>
          <w:rFonts w:ascii="Century Gothic" w:hAnsi="Century Gothic"/>
          <w:color w:val="808080" w:themeColor="background1" w:themeShade="80"/>
          <w:lang w:val="it-IT"/>
        </w:rPr>
        <w:t>ppatura semiotica dei trend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, identificazione dei target di comunicazione e loro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mirroring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nei Big Data.</w:t>
      </w:r>
    </w:p>
    <w:p w14:paraId="1E6C21C9" w14:textId="77777777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17F9E578" w14:textId="33AD6418" w:rsidR="003D387F" w:rsidRPr="006475AF" w:rsidRDefault="003D387F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L’edizione 2019-20</w:t>
      </w:r>
      <w:proofErr w:type="gramStart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 </w:t>
      </w:r>
      <w:proofErr w:type="gramEnd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di TREND MONITOR® </w:t>
      </w:r>
      <w:r w:rsidR="00080B2B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si configura come un </w:t>
      </w:r>
      <w:proofErr w:type="spellStart"/>
      <w:r w:rsidR="00080B2B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forecast</w:t>
      </w:r>
      <w:proofErr w:type="spellEnd"/>
      <w:r w:rsidR="00080B2B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transgenerazionale: 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>tra i primi ad essere coinvolti dal cambiamento</w:t>
      </w:r>
      <w:r w:rsidR="00080B2B" w:rsidRPr="006475AF">
        <w:rPr>
          <w:rFonts w:ascii="Century Gothic" w:hAnsi="Century Gothic"/>
          <w:bCs/>
          <w:color w:val="808080" w:themeColor="background1" w:themeShade="80"/>
          <w:lang w:val="it-IT"/>
        </w:rPr>
        <w:t>, i parametri socio-demografici relativi all’età anagrafica prefigurano una società che dovrà sforzarsi di ignorare la segmentazione per età, perch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é vedrà rovesciarsi i criteri </w:t>
      </w:r>
      <w:r w:rsidR="00080B2B"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che tradizionalmente la definivano: 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ci rivolgeremo a </w:t>
      </w:r>
      <w:proofErr w:type="spellStart"/>
      <w:r w:rsidR="004D2DEA">
        <w:rPr>
          <w:rFonts w:ascii="Century Gothic" w:hAnsi="Century Gothic"/>
          <w:b/>
          <w:bCs/>
          <w:color w:val="808080" w:themeColor="background1" w:themeShade="80"/>
          <w:lang w:val="it-IT"/>
        </w:rPr>
        <w:t>P</w:t>
      </w:r>
      <w:r w:rsidR="00080B2B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erennials</w:t>
      </w:r>
      <w:proofErr w:type="spellEnd"/>
      <w:r w:rsidR="00080B2B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più che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a </w:t>
      </w:r>
      <w:proofErr w:type="spellStart"/>
      <w:r w:rsidR="004D2DEA">
        <w:rPr>
          <w:rFonts w:ascii="Century Gothic" w:hAnsi="Century Gothic"/>
          <w:b/>
          <w:bCs/>
          <w:color w:val="808080" w:themeColor="background1" w:themeShade="80"/>
          <w:lang w:val="it-IT"/>
        </w:rPr>
        <w:t>Mi</w:t>
      </w:r>
      <w:r w:rsidR="00080B2B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llennials</w:t>
      </w:r>
      <w:proofErr w:type="spellEnd"/>
      <w:r w:rsidR="00080B2B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,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 indifferenti alla variabile temporale, all’interno di</w:t>
      </w:r>
      <w:r w:rsidR="00080B2B"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 un mercato che si orienta sempre più al contenimento del fattore umano (alla negazione dei suoi limiti intrinseci). Contemporaneamente, 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assisteremo a </w:t>
      </w:r>
      <w:r w:rsidR="00080B2B"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grandi opportunità nell’evoluzione di un contesto in cui le </w:t>
      </w:r>
      <w:r w:rsidR="00080B2B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“conseguenze” del futuro</w:t>
      </w:r>
      <w:r w:rsidR="00080B2B"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 cominciano ad essere sensibili, e la direzione da imprimere è decisione che non può essere rinviata: </w:t>
      </w:r>
      <w:r w:rsidR="00080B2B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marche che tornano ad essere protagoniste</w:t>
      </w:r>
      <w:r w:rsidR="00080B2B" w:rsidRPr="006475AF">
        <w:rPr>
          <w:rFonts w:ascii="Century Gothic" w:hAnsi="Century Gothic"/>
          <w:bCs/>
          <w:color w:val="808080" w:themeColor="background1" w:themeShade="80"/>
          <w:lang w:val="it-IT"/>
        </w:rPr>
        <w:t>, pena l’esclusione da un partita che chiede di essere attivamente modulata.</w:t>
      </w:r>
    </w:p>
    <w:p w14:paraId="2028CD30" w14:textId="77777777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color w:val="808080" w:themeColor="background1" w:themeShade="80"/>
          <w:lang w:val="it-IT"/>
        </w:rPr>
        <w:t> </w:t>
      </w:r>
    </w:p>
    <w:p w14:paraId="58547284" w14:textId="1DE5C01E" w:rsidR="00080B2B" w:rsidRPr="006475AF" w:rsidRDefault="00080B2B" w:rsidP="003D387F">
      <w:pPr>
        <w:spacing w:line="360" w:lineRule="auto"/>
        <w:rPr>
          <w:rFonts w:ascii="Century Gothic" w:hAnsi="Century Gothic"/>
          <w:b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bCs/>
          <w:color w:val="000000" w:themeColor="text1"/>
          <w:lang w:val="it-IT"/>
        </w:rPr>
        <w:lastRenderedPageBreak/>
        <w:t xml:space="preserve">#DARK!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è </w:t>
      </w:r>
      <w:r w:rsidR="003D387F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nello specifico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il tema centrale </w:t>
      </w:r>
      <w:r w:rsidR="003D387F" w:rsidRPr="006475AF">
        <w:rPr>
          <w:rFonts w:ascii="Century Gothic" w:hAnsi="Century Gothic"/>
          <w:color w:val="808080" w:themeColor="background1" w:themeShade="80"/>
          <w:lang w:val="it-IT"/>
        </w:rPr>
        <w:t>intorno al quale ruota l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a proiezione anticipatoria di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baba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per l’anno</w:t>
      </w:r>
      <w:r w:rsidR="003D387F" w:rsidRPr="006475AF">
        <w:rPr>
          <w:rFonts w:ascii="Century Gothic" w:hAnsi="Century Gothic"/>
          <w:color w:val="808080" w:themeColor="background1" w:themeShade="80"/>
          <w:lang w:val="it-IT"/>
        </w:rPr>
        <w:t xml:space="preserve"> che verrà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: </w:t>
      </w:r>
      <w:r w:rsidR="003D387F" w:rsidRPr="006475AF">
        <w:rPr>
          <w:rFonts w:ascii="Century Gothic" w:hAnsi="Century Gothic"/>
          <w:bCs/>
          <w:color w:val="808080" w:themeColor="background1" w:themeShade="80"/>
          <w:lang w:val="it-IT"/>
        </w:rPr>
        <w:t>keyword che dice bene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l’incertezza di un futuro basato su una tecnologia sempre più pervasiva, ma anche </w:t>
      </w:r>
      <w:r w:rsidR="003D387F"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piedestallo 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per l’esplorazione di nuove possibilità. Oscurità vs profondità, concentrazione vs negazione: </w:t>
      </w:r>
      <w:r w:rsidRPr="006475AF">
        <w:rPr>
          <w:rFonts w:ascii="Century Gothic" w:hAnsi="Century Gothic"/>
          <w:b/>
          <w:bCs/>
          <w:lang w:val="it-IT"/>
        </w:rPr>
        <w:t>#DARK!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 è la percentuale di rischio che marca questa congiuntura delineando </w:t>
      </w:r>
      <w:r w:rsidRPr="006475AF">
        <w:rPr>
          <w:rFonts w:ascii="Century Gothic" w:hAnsi="Century Gothic"/>
          <w:b/>
          <w:color w:val="808080" w:themeColor="background1" w:themeShade="80"/>
          <w:lang w:val="it-IT"/>
        </w:rPr>
        <w:t>4 scenari alternativi</w:t>
      </w:r>
      <w:r w:rsidR="003D387F"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. 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>Da percorrere nelle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proofErr w:type="gramStart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8</w:t>
      </w:r>
      <w:proofErr w:type="gramEnd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tendenze </w:t>
      </w:r>
      <w:proofErr w:type="spellStart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crosscategory</w:t>
      </w:r>
      <w:proofErr w:type="spellEnd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e </w:t>
      </w:r>
      <w:proofErr w:type="spellStart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crosscountry</w:t>
      </w:r>
      <w:proofErr w:type="spellEnd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che aprono ad altrettante modalità di futuro possibile,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aree concettuali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anticipatorie per nuovi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concept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di prodotto e azioni di comunicazione indirizzati a</w:t>
      </w:r>
      <w:r w:rsidR="004D2DEA">
        <w:rPr>
          <w:rFonts w:ascii="Century Gothic" w:hAnsi="Century Gothic"/>
          <w:color w:val="808080" w:themeColor="background1" w:themeShade="80"/>
          <w:lang w:val="it-IT"/>
        </w:rPr>
        <w:t>i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4 target/</w:t>
      </w:r>
      <w:proofErr w:type="spellStart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personas</w:t>
      </w:r>
      <w:proofErr w:type="spellEnd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corrispondenti: </w:t>
      </w:r>
      <w:r w:rsidRPr="006475AF">
        <w:rPr>
          <w:rFonts w:ascii="Century Gothic" w:hAnsi="Century Gothic"/>
          <w:i/>
          <w:iCs/>
          <w:color w:val="808080" w:themeColor="background1" w:themeShade="80"/>
          <w:lang w:val="it-IT"/>
        </w:rPr>
        <w:t>the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proofErr w:type="spellStart"/>
      <w:r w:rsidRPr="006475AF">
        <w:rPr>
          <w:rFonts w:ascii="Century Gothic" w:hAnsi="Century Gothic"/>
          <w:b/>
          <w:bCs/>
          <w:color w:val="376092"/>
          <w:lang w:val="it-IT"/>
        </w:rPr>
        <w:t>Shouters</w:t>
      </w:r>
      <w:proofErr w:type="spellEnd"/>
      <w:r w:rsidRPr="006475AF">
        <w:rPr>
          <w:rFonts w:ascii="Century Gothic" w:hAnsi="Century Gothic"/>
          <w:b/>
          <w:bCs/>
          <w:color w:val="376092"/>
          <w:lang w:val="it-IT"/>
        </w:rPr>
        <w:t xml:space="preserve"> (TO FACE)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, </w:t>
      </w:r>
      <w:r w:rsidRPr="006475AF">
        <w:rPr>
          <w:rFonts w:ascii="Century Gothic" w:hAnsi="Century Gothic"/>
          <w:i/>
          <w:iCs/>
          <w:color w:val="808080" w:themeColor="background1" w:themeShade="80"/>
          <w:lang w:val="it-IT"/>
        </w:rPr>
        <w:t>the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proofErr w:type="spellStart"/>
      <w:r w:rsidRPr="006475AF">
        <w:rPr>
          <w:rFonts w:ascii="Century Gothic" w:hAnsi="Century Gothic"/>
          <w:b/>
          <w:bCs/>
          <w:color w:val="7F7F7F"/>
          <w:lang w:val="it-IT"/>
        </w:rPr>
        <w:t>Observers</w:t>
      </w:r>
      <w:proofErr w:type="spellEnd"/>
      <w:r w:rsidRPr="006475AF">
        <w:rPr>
          <w:rFonts w:ascii="Century Gothic" w:hAnsi="Century Gothic"/>
          <w:b/>
          <w:bCs/>
          <w:color w:val="7F7F7F"/>
          <w:lang w:val="it-IT"/>
        </w:rPr>
        <w:t xml:space="preserve"> (TO RETREAT)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, </w:t>
      </w:r>
      <w:r w:rsidRPr="006475AF">
        <w:rPr>
          <w:rFonts w:ascii="Century Gothic" w:hAnsi="Century Gothic"/>
          <w:i/>
          <w:iCs/>
          <w:color w:val="808080" w:themeColor="background1" w:themeShade="80"/>
          <w:lang w:val="it-IT"/>
        </w:rPr>
        <w:t>the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b/>
          <w:bCs/>
          <w:color w:val="660066"/>
          <w:lang w:val="it-IT"/>
        </w:rPr>
        <w:t xml:space="preserve">Challengers (TO DARE)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e</w:t>
      </w:r>
      <w:r w:rsidRPr="006475AF">
        <w:rPr>
          <w:rFonts w:ascii="Century Gothic" w:hAnsi="Century Gothic"/>
          <w:i/>
          <w:iCs/>
          <w:color w:val="808080" w:themeColor="background1" w:themeShade="80"/>
          <w:lang w:val="it-IT"/>
        </w:rPr>
        <w:t xml:space="preserve"> the </w:t>
      </w:r>
      <w:proofErr w:type="spellStart"/>
      <w:r w:rsidRPr="006475AF">
        <w:rPr>
          <w:rFonts w:ascii="Century Gothic" w:hAnsi="Century Gothic"/>
          <w:b/>
          <w:bCs/>
          <w:color w:val="77933B"/>
          <w:lang w:val="it-IT"/>
        </w:rPr>
        <w:t>Deniers</w:t>
      </w:r>
      <w:proofErr w:type="spellEnd"/>
      <w:r w:rsidRPr="006475AF">
        <w:rPr>
          <w:rFonts w:ascii="Century Gothic" w:hAnsi="Century Gothic"/>
          <w:b/>
          <w:bCs/>
          <w:color w:val="77933B"/>
          <w:lang w:val="it-IT"/>
        </w:rPr>
        <w:t xml:space="preserve"> (TO REJECT)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.</w:t>
      </w:r>
    </w:p>
    <w:p w14:paraId="640A08EE" w14:textId="30974201" w:rsidR="00080B2B" w:rsidRPr="006475AF" w:rsidRDefault="00080B2B" w:rsidP="003D387F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</w:p>
    <w:p w14:paraId="1D549DE9" w14:textId="34A239E9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noProof/>
          <w:color w:val="FFFFFF" w:themeColor="background1"/>
          <w:lang w:val="it-IT" w:eastAsia="it-IT"/>
        </w:rPr>
        <w:drawing>
          <wp:inline distT="0" distB="0" distL="0" distR="0" wp14:anchorId="736E8FAF" wp14:editId="699034B1">
            <wp:extent cx="6217285" cy="3496945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Q mappa trends.tif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BEA6" w14:textId="77777777" w:rsidR="00080B2B" w:rsidRPr="006475AF" w:rsidRDefault="00080B2B" w:rsidP="003D387F">
      <w:pPr>
        <w:spacing w:line="360" w:lineRule="auto"/>
        <w:rPr>
          <w:rFonts w:ascii="Century Gothic" w:hAnsi="Century Gothic"/>
          <w:b/>
          <w:bCs/>
          <w:color w:val="808080" w:themeColor="background1" w:themeShade="80"/>
          <w:lang w:val="it-IT"/>
        </w:rPr>
      </w:pPr>
    </w:p>
    <w:p w14:paraId="32B0B954" w14:textId="321E5EFB" w:rsidR="00080B2B" w:rsidRPr="006475AF" w:rsidRDefault="00080B2B" w:rsidP="003D387F">
      <w:pPr>
        <w:spacing w:line="360" w:lineRule="auto"/>
        <w:rPr>
          <w:rFonts w:ascii="Century Gothic" w:hAnsi="Century Gothic"/>
          <w:color w:val="7F7F7F" w:themeColor="text1" w:themeTint="80"/>
          <w:lang w:val="it-IT"/>
        </w:rPr>
      </w:pPr>
      <w:r w:rsidRPr="006475AF">
        <w:rPr>
          <w:rFonts w:ascii="Century Gothic" w:hAnsi="Century Gothic"/>
          <w:b/>
          <w:color w:val="808080" w:themeColor="background1" w:themeShade="80"/>
          <w:lang w:val="it-IT"/>
        </w:rPr>
        <w:t xml:space="preserve">1. </w:t>
      </w:r>
      <w:r w:rsidRPr="006475AF">
        <w:rPr>
          <w:rFonts w:ascii="Century Gothic" w:hAnsi="Century Gothic"/>
          <w:b/>
          <w:color w:val="376092"/>
          <w:lang w:val="it-IT"/>
        </w:rPr>
        <w:t>TO FACE</w:t>
      </w:r>
      <w:proofErr w:type="gramStart"/>
      <w:r w:rsidR="003D387F" w:rsidRPr="006475AF">
        <w:rPr>
          <w:rFonts w:ascii="Century Gothic" w:hAnsi="Century Gothic"/>
          <w:b/>
          <w:color w:val="376092"/>
          <w:lang w:val="it-IT"/>
        </w:rPr>
        <w:t> :</w:t>
      </w:r>
      <w:proofErr w:type="gramEnd"/>
      <w:r w:rsidRPr="006475AF">
        <w:rPr>
          <w:rFonts w:ascii="Century Gothic" w:hAnsi="Century Gothic"/>
          <w:b/>
          <w:color w:val="376092"/>
          <w:lang w:val="it-IT"/>
        </w:rPr>
        <w:t xml:space="preserve"> </w:t>
      </w:r>
      <w:r w:rsidR="003D387F" w:rsidRPr="00567850">
        <w:rPr>
          <w:rFonts w:ascii="Century Gothic" w:hAnsi="Century Gothic"/>
          <w:b/>
          <w:color w:val="000000" w:themeColor="text1"/>
          <w:lang w:val="it-IT"/>
        </w:rPr>
        <w:t>#DARK!</w:t>
      </w:r>
      <w:r w:rsidR="003D387F" w:rsidRPr="00567850">
        <w:rPr>
          <w:rFonts w:ascii="Century Gothic" w:hAnsi="Century Gothic"/>
          <w:color w:val="000000" w:themeColor="text1"/>
          <w:lang w:val="it-IT"/>
        </w:rPr>
        <w:t xml:space="preserve"> </w:t>
      </w:r>
      <w:bookmarkStart w:id="0" w:name="_GoBack"/>
      <w:proofErr w:type="gramStart"/>
      <w:r w:rsidR="003D387F" w:rsidRPr="008F0150">
        <w:rPr>
          <w:rFonts w:ascii="Century Gothic" w:hAnsi="Century Gothic"/>
          <w:b/>
          <w:color w:val="808080" w:themeColor="background1" w:themeShade="80"/>
          <w:lang w:val="it-IT"/>
        </w:rPr>
        <w:t>marca</w:t>
      </w:r>
      <w:proofErr w:type="gramEnd"/>
      <w:r w:rsidR="003D387F" w:rsidRPr="008F0150">
        <w:rPr>
          <w:rFonts w:ascii="Century Gothic" w:hAnsi="Century Gothic"/>
          <w:b/>
          <w:color w:val="808080" w:themeColor="background1" w:themeShade="80"/>
          <w:lang w:val="it-IT"/>
        </w:rPr>
        <w:t xml:space="preserve"> la reazione verso ciò che ancora non ha confini chiaramente delineati, è lo scenario dell’azione e </w:t>
      </w:r>
      <w:r w:rsidR="003D387F" w:rsidRPr="008F0150">
        <w:rPr>
          <w:rFonts w:ascii="Century Gothic" w:hAnsi="Century Gothic"/>
          <w:b/>
          <w:color w:val="7F7F7F" w:themeColor="text1" w:themeTint="80"/>
          <w:lang w:val="it-IT"/>
        </w:rPr>
        <w:t>dell’aggressività</w:t>
      </w:r>
      <w:bookmarkEnd w:id="0"/>
      <w:r w:rsidR="003D387F" w:rsidRPr="006475AF">
        <w:rPr>
          <w:rFonts w:ascii="Century Gothic" w:hAnsi="Century Gothic"/>
          <w:color w:val="7F7F7F" w:themeColor="text1" w:themeTint="80"/>
          <w:lang w:val="it-IT"/>
        </w:rPr>
        <w:t>, verso un futuro del quale si azzardano i contorni.</w:t>
      </w:r>
    </w:p>
    <w:p w14:paraId="020A16E1" w14:textId="56DE738E" w:rsidR="00080B2B" w:rsidRPr="004D2DEA" w:rsidRDefault="00080B2B" w:rsidP="003D387F">
      <w:pPr>
        <w:spacing w:line="360" w:lineRule="auto"/>
        <w:rPr>
          <w:rFonts w:ascii="Century Gothic" w:hAnsi="Century Gothic"/>
          <w:color w:val="7F7F7F" w:themeColor="text1" w:themeTint="80"/>
          <w:lang w:val="it-IT"/>
        </w:rPr>
      </w:pP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I trend: </w:t>
      </w:r>
      <w:r w:rsidRPr="006475AF">
        <w:rPr>
          <w:rFonts w:ascii="Century Gothic" w:hAnsi="Century Gothic"/>
          <w:color w:val="376092"/>
          <w:lang w:val="it-IT"/>
        </w:rPr>
        <w:t>BREAVEHEART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 e </w:t>
      </w:r>
      <w:r w:rsidRPr="006475AF">
        <w:rPr>
          <w:rFonts w:ascii="Century Gothic" w:hAnsi="Century Gothic"/>
          <w:color w:val="376092"/>
          <w:lang w:val="it-IT"/>
        </w:rPr>
        <w:t xml:space="preserve">IMPUDENCE 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sono il 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>«</w:t>
      </w:r>
      <w:r w:rsidRPr="006475AF">
        <w:rPr>
          <w:rFonts w:ascii="Century Gothic" w:hAnsi="Century Gothic"/>
          <w:color w:val="7F7F7F" w:themeColor="text1" w:themeTint="80"/>
          <w:lang w:val="it-IT"/>
        </w:rPr>
        <w:t>salto nel buio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>» e il mood che consente di ignorare</w:t>
      </w:r>
      <w:r w:rsidR="002B1E75" w:rsidRPr="006475AF">
        <w:rPr>
          <w:rFonts w:ascii="Century Gothic" w:hAnsi="Century Gothic"/>
          <w:color w:val="7F7F7F" w:themeColor="text1" w:themeTint="80"/>
          <w:lang w:val="it-IT"/>
        </w:rPr>
        <w:t xml:space="preserve"> i limiti e mettere in mostra la ribellione al </w:t>
      </w:r>
      <w:proofErr w:type="spellStart"/>
      <w:r w:rsidR="002B1E75" w:rsidRPr="006475AF">
        <w:rPr>
          <w:rFonts w:ascii="Century Gothic" w:hAnsi="Century Gothic"/>
          <w:color w:val="7F7F7F" w:themeColor="text1" w:themeTint="80"/>
          <w:lang w:val="it-IT"/>
        </w:rPr>
        <w:t>mainstream</w:t>
      </w:r>
      <w:proofErr w:type="spellEnd"/>
      <w:r w:rsidR="002B1E75" w:rsidRPr="006475AF">
        <w:rPr>
          <w:rFonts w:ascii="Century Gothic" w:hAnsi="Century Gothic"/>
          <w:color w:val="7F7F7F" w:themeColor="text1" w:themeTint="80"/>
          <w:lang w:val="it-IT"/>
        </w:rPr>
        <w:t>.</w:t>
      </w:r>
      <w:r w:rsidR="004D2DEA">
        <w:rPr>
          <w:rFonts w:ascii="Century Gothic" w:hAnsi="Century Gothic"/>
          <w:color w:val="7F7F7F" w:themeColor="text1" w:themeTint="80"/>
          <w:lang w:val="it-IT"/>
        </w:rPr>
        <w:t xml:space="preserve">. 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 xml:space="preserve">Guidati dal 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lastRenderedPageBreak/>
        <w:t>desiderio di rivoluzione</w:t>
      </w:r>
      <w:r w:rsidRPr="006475AF">
        <w:rPr>
          <w:rFonts w:ascii="Century Gothic" w:hAnsi="Century Gothic"/>
          <w:color w:val="7F7F7F" w:themeColor="text1" w:themeTint="80"/>
          <w:lang w:val="it-IT"/>
        </w:rPr>
        <w:t>, gli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proofErr w:type="spellStart"/>
      <w:r w:rsidRPr="006475AF">
        <w:rPr>
          <w:rFonts w:ascii="Century Gothic" w:hAnsi="Century Gothic"/>
          <w:color w:val="376092"/>
          <w:lang w:val="it-IT"/>
        </w:rPr>
        <w:t>Shouters</w:t>
      </w:r>
      <w:proofErr w:type="spellEnd"/>
      <w:r w:rsidRPr="006475AF">
        <w:rPr>
          <w:rFonts w:ascii="Century Gothic" w:hAnsi="Century Gothic"/>
          <w:color w:val="376092"/>
          <w:lang w:val="it-IT"/>
        </w:rPr>
        <w:t xml:space="preserve"> 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sono attratti 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 xml:space="preserve">da novità comportamentali come attitudinali (vedi 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i tornei di </w:t>
      </w:r>
      <w:hyperlink r:id="rId15" w:history="1">
        <w:r w:rsidRPr="006475AF">
          <w:rPr>
            <w:rStyle w:val="Collegamentoipertestuale"/>
            <w:rFonts w:ascii="Century Gothic" w:hAnsi="Century Gothic"/>
            <w:lang w:val="it-IT"/>
          </w:rPr>
          <w:t xml:space="preserve">League of </w:t>
        </w:r>
        <w:proofErr w:type="spellStart"/>
        <w:r w:rsidRPr="006475AF">
          <w:rPr>
            <w:rStyle w:val="Collegamentoipertestuale"/>
            <w:rFonts w:ascii="Century Gothic" w:hAnsi="Century Gothic"/>
            <w:lang w:val="it-IT"/>
          </w:rPr>
          <w:t>Legends</w:t>
        </w:r>
        <w:proofErr w:type="spellEnd"/>
      </w:hyperlink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, </w:t>
      </w:r>
      <w:r w:rsidR="003D387F" w:rsidRPr="004D2DEA">
        <w:rPr>
          <w:rFonts w:ascii="Century Gothic" w:hAnsi="Century Gothic"/>
          <w:color w:val="7F7F7F" w:themeColor="text1" w:themeTint="80"/>
          <w:lang w:val="it-IT"/>
        </w:rPr>
        <w:t xml:space="preserve">che </w:t>
      </w:r>
      <w:r w:rsidR="00A16F7D" w:rsidRPr="004D2DEA">
        <w:rPr>
          <w:rFonts w:ascii="Century Gothic" w:hAnsi="Century Gothic"/>
          <w:color w:val="7F7F7F" w:themeColor="text1" w:themeTint="80"/>
          <w:lang w:val="it-IT"/>
        </w:rPr>
        <w:t>trasportano</w:t>
      </w:r>
      <w:r w:rsidRPr="004D2DEA">
        <w:rPr>
          <w:rFonts w:ascii="Century Gothic" w:hAnsi="Century Gothic"/>
          <w:color w:val="7F7F7F" w:themeColor="text1" w:themeTint="80"/>
          <w:lang w:val="it-IT"/>
        </w:rPr>
        <w:t xml:space="preserve"> </w:t>
      </w:r>
      <w:r w:rsidR="00A16F7D" w:rsidRPr="004D2DEA">
        <w:rPr>
          <w:rFonts w:ascii="Century Gothic" w:hAnsi="Century Gothic"/>
          <w:color w:val="7F7F7F" w:themeColor="text1" w:themeTint="80"/>
          <w:lang w:val="it-IT"/>
        </w:rPr>
        <w:t xml:space="preserve">l’antagonismo sportivo in un’arena virtuale dove si scontrano </w:t>
      </w:r>
      <w:r w:rsidR="00567850" w:rsidRPr="004D2DEA">
        <w:rPr>
          <w:rFonts w:ascii="Century Gothic" w:hAnsi="Century Gothic"/>
          <w:color w:val="7F7F7F" w:themeColor="text1" w:themeTint="80"/>
          <w:lang w:val="it-IT"/>
        </w:rPr>
        <w:t>attori</w:t>
      </w:r>
      <w:r w:rsidR="00A16F7D" w:rsidRPr="004D2DEA">
        <w:rPr>
          <w:rFonts w:ascii="Century Gothic" w:hAnsi="Century Gothic"/>
          <w:color w:val="7F7F7F" w:themeColor="text1" w:themeTint="80"/>
          <w:lang w:val="it-IT"/>
        </w:rPr>
        <w:t xml:space="preserve"> </w:t>
      </w:r>
      <w:r w:rsidR="00567850" w:rsidRPr="004D2DEA">
        <w:rPr>
          <w:rFonts w:ascii="Century Gothic" w:hAnsi="Century Gothic"/>
          <w:color w:val="7F7F7F" w:themeColor="text1" w:themeTint="80"/>
          <w:lang w:val="it-IT"/>
        </w:rPr>
        <w:t>computerizzati</w:t>
      </w:r>
      <w:r w:rsidR="00A16F7D" w:rsidRPr="004D2DEA">
        <w:rPr>
          <w:rFonts w:ascii="Century Gothic" w:hAnsi="Century Gothic"/>
          <w:color w:val="7F7F7F" w:themeColor="text1" w:themeTint="80"/>
          <w:lang w:val="it-IT"/>
        </w:rPr>
        <w:t>).</w:t>
      </w:r>
    </w:p>
    <w:p w14:paraId="581C61DF" w14:textId="77777777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6A041BEC" w14:textId="77777777" w:rsidR="003D387F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color w:val="808080" w:themeColor="background1" w:themeShade="80"/>
          <w:lang w:val="it-IT"/>
        </w:rPr>
        <w:t>2.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b/>
          <w:color w:val="656565"/>
          <w:lang w:val="it-IT"/>
        </w:rPr>
        <w:t>TO RETREAT</w:t>
      </w:r>
      <w:r w:rsidRPr="006475AF">
        <w:rPr>
          <w:rFonts w:ascii="Century Gothic" w:hAnsi="Century Gothic"/>
          <w:b/>
          <w:color w:val="808080" w:themeColor="background1" w:themeShade="80"/>
          <w:lang w:val="it-IT"/>
        </w:rPr>
        <w:t>:</w:t>
      </w:r>
      <w:r w:rsidR="003D387F" w:rsidRPr="006475AF">
        <w:rPr>
          <w:rFonts w:ascii="Century Gothic" w:hAnsi="Century Gothic"/>
          <w:b/>
          <w:color w:val="808080" w:themeColor="background1" w:themeShade="80"/>
          <w:lang w:val="it-IT"/>
        </w:rPr>
        <w:t xml:space="preserve"> </w:t>
      </w:r>
      <w:r w:rsidR="003D387F" w:rsidRPr="00567850">
        <w:rPr>
          <w:rFonts w:ascii="Century Gothic" w:hAnsi="Century Gothic"/>
          <w:b/>
          <w:color w:val="000000" w:themeColor="text1"/>
          <w:lang w:val="it-IT"/>
        </w:rPr>
        <w:t>#DARK</w:t>
      </w:r>
      <w:r w:rsidR="003D387F" w:rsidRPr="00567850">
        <w:rPr>
          <w:rFonts w:ascii="Century Gothic" w:hAnsi="Century Gothic"/>
          <w:color w:val="000000" w:themeColor="text1"/>
          <w:lang w:val="it-IT"/>
        </w:rPr>
        <w:t xml:space="preserve"> </w:t>
      </w:r>
      <w:r w:rsidR="003D387F" w:rsidRPr="004D2DEA">
        <w:rPr>
          <w:rFonts w:ascii="Century Gothic" w:hAnsi="Century Gothic"/>
          <w:b/>
          <w:color w:val="808080" w:themeColor="background1" w:themeShade="80"/>
          <w:lang w:val="it-IT"/>
        </w:rPr>
        <w:t>è il simulacro digitale che si pone tra l’individuo e il mondo</w:t>
      </w:r>
      <w:r w:rsidR="003D387F" w:rsidRPr="006475AF">
        <w:rPr>
          <w:rFonts w:ascii="Century Gothic" w:hAnsi="Century Gothic"/>
          <w:color w:val="808080" w:themeColor="background1" w:themeShade="80"/>
          <w:lang w:val="it-IT"/>
        </w:rPr>
        <w:t>.  S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i entra nello scenario dell’indifferenza</w:t>
      </w:r>
      <w:r w:rsidR="003D387F" w:rsidRPr="006475AF">
        <w:rPr>
          <w:rFonts w:ascii="Century Gothic" w:hAnsi="Century Gothic"/>
          <w:color w:val="808080" w:themeColor="background1" w:themeShade="80"/>
          <w:lang w:val="it-IT"/>
        </w:rPr>
        <w:t xml:space="preserve"> alla relazione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, dove il contatto umano viene sostituito da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tools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e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devices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. </w:t>
      </w:r>
    </w:p>
    <w:p w14:paraId="59E551C6" w14:textId="6B3B25B9" w:rsidR="00080B2B" w:rsidRPr="006475AF" w:rsidRDefault="00080B2B" w:rsidP="003D387F">
      <w:pPr>
        <w:spacing w:line="360" w:lineRule="auto"/>
        <w:rPr>
          <w:rFonts w:ascii="Century Gothic" w:hAnsi="Century Gothic"/>
          <w:color w:val="FF0000"/>
          <w:lang w:val="it-IT"/>
        </w:rPr>
      </w:pP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I trend: </w:t>
      </w:r>
      <w:r w:rsidRPr="006475AF">
        <w:rPr>
          <w:rFonts w:ascii="Century Gothic" w:hAnsi="Century Gothic"/>
          <w:color w:val="656565"/>
          <w:lang w:val="it-IT"/>
        </w:rPr>
        <w:t>FLOAT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 xml:space="preserve"> (allentamento dei termini identitari)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 e </w:t>
      </w:r>
      <w:r w:rsidRPr="006475AF">
        <w:rPr>
          <w:rFonts w:ascii="Century Gothic" w:hAnsi="Century Gothic"/>
          <w:color w:val="656565"/>
          <w:lang w:val="it-IT"/>
        </w:rPr>
        <w:t>APART</w:t>
      </w:r>
      <w:r w:rsidR="003D387F" w:rsidRPr="006475AF">
        <w:rPr>
          <w:rFonts w:ascii="Century Gothic" w:hAnsi="Century Gothic"/>
          <w:color w:val="656565"/>
          <w:lang w:val="it-IT"/>
        </w:rPr>
        <w:t xml:space="preserve"> 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>(isolazionismo)</w:t>
      </w:r>
      <w:r w:rsidR="005F0759">
        <w:rPr>
          <w:rFonts w:ascii="Century Gothic" w:hAnsi="Century Gothic"/>
          <w:color w:val="7F7F7F" w:themeColor="text1" w:themeTint="80"/>
          <w:lang w:val="it-IT"/>
        </w:rPr>
        <w:t>,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 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>dove</w:t>
      </w:r>
      <w:r w:rsidR="006F19F6" w:rsidRPr="006475AF">
        <w:rPr>
          <w:rFonts w:ascii="Century Gothic" w:hAnsi="Century Gothic"/>
          <w:color w:val="7F7F7F" w:themeColor="text1" w:themeTint="80"/>
          <w:lang w:val="it-IT"/>
        </w:rPr>
        <w:t xml:space="preserve"> la tecnologia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 xml:space="preserve"> gioca</w:t>
      </w:r>
      <w:r w:rsidR="006F19F6" w:rsidRPr="006475AF">
        <w:rPr>
          <w:rFonts w:ascii="Century Gothic" w:hAnsi="Century Gothic"/>
          <w:color w:val="7F7F7F" w:themeColor="text1" w:themeTint="80"/>
          <w:lang w:val="it-IT"/>
        </w:rPr>
        <w:t xml:space="preserve"> in sostituzione del contatto umano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 xml:space="preserve">. Per un target di </w:t>
      </w:r>
      <w:proofErr w:type="spellStart"/>
      <w:r w:rsidR="003D387F" w:rsidRPr="006475AF">
        <w:rPr>
          <w:rFonts w:ascii="Century Gothic" w:hAnsi="Century Gothic"/>
          <w:color w:val="656565"/>
          <w:lang w:val="it-IT"/>
        </w:rPr>
        <w:t>Observers</w:t>
      </w:r>
      <w:proofErr w:type="spellEnd"/>
      <w:r w:rsidR="003D387F" w:rsidRPr="006475AF">
        <w:rPr>
          <w:rFonts w:ascii="Century Gothic" w:hAnsi="Century Gothic"/>
          <w:color w:val="7F7F7F" w:themeColor="text1" w:themeTint="80"/>
          <w:lang w:val="it-IT"/>
        </w:rPr>
        <w:t xml:space="preserve">, </w:t>
      </w:r>
      <w:r w:rsidR="005F0759">
        <w:rPr>
          <w:rFonts w:ascii="Century Gothic" w:hAnsi="Century Gothic"/>
          <w:color w:val="7F7F7F" w:themeColor="text1" w:themeTint="80"/>
          <w:lang w:val="it-IT"/>
        </w:rPr>
        <w:t xml:space="preserve">sono </w:t>
      </w:r>
      <w:r w:rsidR="009C6FB9">
        <w:rPr>
          <w:rFonts w:ascii="Century Gothic" w:hAnsi="Century Gothic"/>
          <w:color w:val="7F7F7F" w:themeColor="text1" w:themeTint="80"/>
          <w:lang w:val="it-IT"/>
        </w:rPr>
        <w:t>ben accolte</w:t>
      </w:r>
      <w:r w:rsidR="005F0759">
        <w:rPr>
          <w:rFonts w:ascii="Century Gothic" w:hAnsi="Century Gothic"/>
          <w:color w:val="7F7F7F" w:themeColor="text1" w:themeTint="80"/>
          <w:lang w:val="it-IT"/>
        </w:rPr>
        <w:t xml:space="preserve"> le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 procedure di accoglienza gestite da robot come il nuovo </w:t>
      </w:r>
      <w:hyperlink r:id="rId16" w:history="1">
        <w:r w:rsidRPr="006475AF">
          <w:rPr>
            <w:rStyle w:val="Collegamentoipertestuale"/>
            <w:rFonts w:ascii="Century Gothic" w:hAnsi="Century Gothic"/>
            <w:lang w:val="it-IT"/>
          </w:rPr>
          <w:t xml:space="preserve">maggiordomo di </w:t>
        </w:r>
        <w:proofErr w:type="spellStart"/>
        <w:r w:rsidRPr="006475AF">
          <w:rPr>
            <w:rStyle w:val="Collegamentoipertestuale"/>
            <w:rFonts w:ascii="Century Gothic" w:hAnsi="Century Gothic"/>
            <w:lang w:val="it-IT"/>
          </w:rPr>
          <w:t>Alibaba</w:t>
        </w:r>
        <w:proofErr w:type="spellEnd"/>
      </w:hyperlink>
      <w:r w:rsidRPr="006475AF">
        <w:rPr>
          <w:rFonts w:ascii="Century Gothic" w:hAnsi="Century Gothic"/>
          <w:color w:val="7F7F7F" w:themeColor="text1" w:themeTint="80"/>
          <w:lang w:val="it-IT"/>
        </w:rPr>
        <w:t>, che svolge tutte le mansioni senza implicare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 xml:space="preserve"> alcuna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 forma di interazione uomo-a-uom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>o</w:t>
      </w:r>
      <w:r w:rsidR="00A16F7D" w:rsidRPr="006475AF">
        <w:rPr>
          <w:rFonts w:ascii="Century Gothic" w:hAnsi="Century Gothic"/>
          <w:color w:val="808080" w:themeColor="background1" w:themeShade="80"/>
          <w:lang w:val="it-IT"/>
        </w:rPr>
        <w:t>.</w:t>
      </w:r>
    </w:p>
    <w:p w14:paraId="4D7F061A" w14:textId="77777777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1D19DFE0" w14:textId="432698B6" w:rsidR="00080B2B" w:rsidRPr="006475AF" w:rsidRDefault="00080B2B" w:rsidP="003D387F">
      <w:pPr>
        <w:spacing w:line="360" w:lineRule="auto"/>
        <w:rPr>
          <w:rFonts w:ascii="Century Gothic" w:hAnsi="Century Gothic"/>
          <w:color w:val="7F7F7F" w:themeColor="text1" w:themeTint="80"/>
          <w:lang w:val="it-IT"/>
        </w:rPr>
      </w:pPr>
      <w:r w:rsidRPr="006475AF">
        <w:rPr>
          <w:rFonts w:ascii="Century Gothic" w:hAnsi="Century Gothic"/>
          <w:b/>
          <w:color w:val="808080" w:themeColor="background1" w:themeShade="80"/>
          <w:lang w:val="it-IT"/>
        </w:rPr>
        <w:t xml:space="preserve">3. </w:t>
      </w:r>
      <w:r w:rsidRPr="006475AF">
        <w:rPr>
          <w:rFonts w:ascii="Century Gothic" w:hAnsi="Century Gothic"/>
          <w:b/>
          <w:color w:val="660066"/>
          <w:lang w:val="it-IT"/>
        </w:rPr>
        <w:t>TO DARE</w:t>
      </w:r>
      <w:r w:rsidR="00EB3E9E">
        <w:rPr>
          <w:rFonts w:ascii="Century Gothic" w:hAnsi="Century Gothic"/>
          <w:b/>
          <w:color w:val="660066"/>
          <w:lang w:val="it-IT"/>
        </w:rPr>
        <w:t>:</w:t>
      </w:r>
      <w:r w:rsidRPr="006475AF">
        <w:rPr>
          <w:rFonts w:ascii="Century Gothic" w:hAnsi="Century Gothic"/>
          <w:color w:val="660066"/>
          <w:lang w:val="it-IT"/>
        </w:rPr>
        <w:t xml:space="preserve"> </w:t>
      </w:r>
      <w:r w:rsidR="003D387F" w:rsidRPr="00954377">
        <w:rPr>
          <w:rFonts w:ascii="Century Gothic" w:hAnsi="Century Gothic"/>
          <w:b/>
          <w:color w:val="000000" w:themeColor="text1"/>
          <w:lang w:val="it-IT"/>
        </w:rPr>
        <w:t>#DARK!</w:t>
      </w:r>
      <w:r w:rsidR="003D387F" w:rsidRPr="00954377">
        <w:rPr>
          <w:rFonts w:ascii="Century Gothic" w:hAnsi="Century Gothic"/>
          <w:color w:val="000000" w:themeColor="text1"/>
          <w:lang w:val="it-IT"/>
        </w:rPr>
        <w:t xml:space="preserve"> </w:t>
      </w:r>
      <w:proofErr w:type="gramStart"/>
      <w:r w:rsidR="003D387F" w:rsidRPr="004D2DEA">
        <w:rPr>
          <w:rFonts w:ascii="Century Gothic" w:hAnsi="Century Gothic"/>
          <w:b/>
          <w:color w:val="7F7F7F" w:themeColor="text1" w:themeTint="80"/>
          <w:lang w:val="it-IT"/>
        </w:rPr>
        <w:t>invita</w:t>
      </w:r>
      <w:proofErr w:type="gramEnd"/>
      <w:r w:rsidR="003D387F" w:rsidRPr="004D2DEA">
        <w:rPr>
          <w:rFonts w:ascii="Century Gothic" w:hAnsi="Century Gothic"/>
          <w:b/>
          <w:color w:val="7F7F7F" w:themeColor="text1" w:themeTint="80"/>
          <w:lang w:val="it-IT"/>
        </w:rPr>
        <w:t xml:space="preserve"> ad affrontare, vincere e fare proprio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>. E’</w:t>
      </w:r>
      <w:r w:rsidR="004D2DEA">
        <w:rPr>
          <w:rFonts w:ascii="Century Gothic" w:hAnsi="Century Gothic"/>
          <w:color w:val="7F7F7F" w:themeColor="text1" w:themeTint="80"/>
          <w:lang w:val="it-IT"/>
        </w:rPr>
        <w:t xml:space="preserve"> lo scenario delle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 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>identità forti ma instabili</w:t>
      </w:r>
      <w:r w:rsidR="0031771D" w:rsidRPr="006475AF">
        <w:rPr>
          <w:rFonts w:ascii="Century Gothic" w:hAnsi="Century Gothic"/>
          <w:color w:val="7F7F7F" w:themeColor="text1" w:themeTint="80"/>
          <w:lang w:val="it-IT"/>
        </w:rPr>
        <w:t xml:space="preserve"> in cui 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 xml:space="preserve">si perseguono </w:t>
      </w:r>
      <w:r w:rsidR="00B55281">
        <w:rPr>
          <w:rFonts w:ascii="Century Gothic" w:hAnsi="Century Gothic"/>
          <w:color w:val="7F7F7F" w:themeColor="text1" w:themeTint="80"/>
          <w:lang w:val="it-IT"/>
        </w:rPr>
        <w:t xml:space="preserve">gli </w:t>
      </w:r>
      <w:r w:rsidR="0031771D" w:rsidRPr="006475AF">
        <w:rPr>
          <w:rFonts w:ascii="Century Gothic" w:hAnsi="Century Gothic"/>
          <w:color w:val="7F7F7F" w:themeColor="text1" w:themeTint="80"/>
          <w:lang w:val="it-IT"/>
        </w:rPr>
        <w:t xml:space="preserve">obiettivi di unicità e 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 xml:space="preserve">anche </w:t>
      </w:r>
      <w:r w:rsidR="0031771D" w:rsidRPr="006475AF">
        <w:rPr>
          <w:rFonts w:ascii="Century Gothic" w:hAnsi="Century Gothic"/>
          <w:color w:val="7F7F7F" w:themeColor="text1" w:themeTint="80"/>
          <w:lang w:val="it-IT"/>
        </w:rPr>
        <w:t>divertimento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>, sfrontatezza e provocazione</w:t>
      </w:r>
      <w:r w:rsidR="00FA384E" w:rsidRPr="006475AF">
        <w:rPr>
          <w:rFonts w:ascii="Century Gothic" w:hAnsi="Century Gothic"/>
          <w:color w:val="7F7F7F" w:themeColor="text1" w:themeTint="80"/>
          <w:lang w:val="it-IT"/>
        </w:rPr>
        <w:t xml:space="preserve"> che caratterizzano i trend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 </w:t>
      </w:r>
      <w:r w:rsidRPr="006475AF">
        <w:rPr>
          <w:rFonts w:ascii="Century Gothic" w:hAnsi="Century Gothic"/>
          <w:color w:val="660066"/>
          <w:lang w:val="it-IT"/>
        </w:rPr>
        <w:t>PRIDE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 e </w:t>
      </w:r>
      <w:r w:rsidRPr="006475AF">
        <w:rPr>
          <w:rFonts w:ascii="Century Gothic" w:hAnsi="Century Gothic"/>
          <w:color w:val="660066"/>
          <w:lang w:val="it-IT"/>
        </w:rPr>
        <w:t>PRETENCE</w:t>
      </w:r>
      <w:r w:rsidR="00FA384E" w:rsidRPr="006475AF">
        <w:rPr>
          <w:rFonts w:ascii="Century Gothic" w:hAnsi="Century Gothic"/>
          <w:color w:val="7F7F7F" w:themeColor="text1" w:themeTint="80"/>
          <w:lang w:val="it-IT"/>
        </w:rPr>
        <w:t>.</w:t>
      </w:r>
    </w:p>
    <w:p w14:paraId="04AE5258" w14:textId="0BEA0EEE" w:rsidR="00080B2B" w:rsidRPr="004D2DEA" w:rsidRDefault="00080B2B" w:rsidP="00297B9B">
      <w:pPr>
        <w:spacing w:line="360" w:lineRule="auto"/>
        <w:rPr>
          <w:rFonts w:ascii="Century Gothic" w:hAnsi="Century Gothic"/>
          <w:color w:val="7F7F7F" w:themeColor="text1" w:themeTint="80"/>
          <w:lang w:val="it-IT"/>
        </w:rPr>
      </w:pP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Per i </w:t>
      </w:r>
      <w:r w:rsidRPr="006475AF">
        <w:rPr>
          <w:rFonts w:ascii="Century Gothic" w:hAnsi="Century Gothic"/>
          <w:color w:val="660066"/>
          <w:lang w:val="it-IT"/>
        </w:rPr>
        <w:t xml:space="preserve">Challengers </w:t>
      </w:r>
      <w:r w:rsidR="00105263" w:rsidRPr="006475AF">
        <w:rPr>
          <w:rFonts w:ascii="Century Gothic" w:hAnsi="Century Gothic"/>
          <w:color w:val="7F7F7F" w:themeColor="text1" w:themeTint="80"/>
          <w:lang w:val="it-IT"/>
        </w:rPr>
        <w:t>continue istigazioni, stimoli e irriverenza rappresentano la strada per u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>scire dal buio dell’anonimato</w:t>
      </w:r>
      <w:r w:rsidR="00954377">
        <w:rPr>
          <w:rFonts w:ascii="Century Gothic" w:hAnsi="Century Gothic"/>
          <w:color w:val="7F7F7F" w:themeColor="text1" w:themeTint="80"/>
          <w:lang w:val="it-IT"/>
        </w:rPr>
        <w:t>;</w:t>
      </w:r>
      <w:r w:rsidR="003D387F" w:rsidRPr="006475AF">
        <w:rPr>
          <w:rFonts w:ascii="Century Gothic" w:hAnsi="Century Gothic"/>
          <w:color w:val="7F7F7F" w:themeColor="text1" w:themeTint="80"/>
          <w:lang w:val="it-IT"/>
        </w:rPr>
        <w:t xml:space="preserve"> </w:t>
      </w:r>
      <w:r w:rsidR="00105263" w:rsidRPr="006475AF">
        <w:rPr>
          <w:rFonts w:ascii="Century Gothic" w:hAnsi="Century Gothic"/>
          <w:color w:val="7F7F7F" w:themeColor="text1" w:themeTint="80"/>
          <w:lang w:val="it-IT"/>
        </w:rPr>
        <w:t>sono il segmento che guarda con interesse a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i cibi post-apocalittici </w:t>
      </w:r>
      <w:r w:rsidR="001006B5">
        <w:rPr>
          <w:rFonts w:ascii="Century Gothic" w:hAnsi="Century Gothic"/>
          <w:color w:val="7F7F7F" w:themeColor="text1" w:themeTint="80"/>
          <w:lang w:val="it-IT"/>
        </w:rPr>
        <w:t>e “</w:t>
      </w:r>
      <w:proofErr w:type="spellStart"/>
      <w:r w:rsidR="001006B5">
        <w:rPr>
          <w:rFonts w:ascii="Century Gothic" w:hAnsi="Century Gothic"/>
          <w:color w:val="7F7F7F" w:themeColor="text1" w:themeTint="80"/>
          <w:lang w:val="it-IT"/>
        </w:rPr>
        <w:t>unseen</w:t>
      </w:r>
      <w:proofErr w:type="spellEnd"/>
      <w:r w:rsidR="001006B5">
        <w:rPr>
          <w:rFonts w:ascii="Century Gothic" w:hAnsi="Century Gothic"/>
          <w:color w:val="7F7F7F" w:themeColor="text1" w:themeTint="80"/>
          <w:lang w:val="it-IT"/>
        </w:rPr>
        <w:t xml:space="preserve">” </w:t>
      </w:r>
      <w:r w:rsidR="00105263" w:rsidRPr="006475AF">
        <w:rPr>
          <w:rFonts w:ascii="Century Gothic" w:hAnsi="Century Gothic"/>
          <w:color w:val="7F7F7F" w:themeColor="text1" w:themeTint="80"/>
          <w:lang w:val="it-IT"/>
        </w:rPr>
        <w:t xml:space="preserve">di </w:t>
      </w:r>
      <w:hyperlink r:id="rId17" w:history="1">
        <w:r w:rsidR="00297B9B" w:rsidRPr="006475AF">
          <w:rPr>
            <w:rStyle w:val="Collegamentoipertestuale"/>
            <w:rFonts w:ascii="Century Gothic" w:hAnsi="Century Gothic"/>
            <w:lang w:val="it-IT"/>
          </w:rPr>
          <w:t xml:space="preserve">Julia </w:t>
        </w:r>
        <w:proofErr w:type="spellStart"/>
        <w:r w:rsidR="00297B9B" w:rsidRPr="006475AF">
          <w:rPr>
            <w:rStyle w:val="Collegamentoipertestuale"/>
            <w:rFonts w:ascii="Century Gothic" w:hAnsi="Century Gothic"/>
            <w:lang w:val="it-IT"/>
          </w:rPr>
          <w:t>Schwarz</w:t>
        </w:r>
        <w:proofErr w:type="spellEnd"/>
      </w:hyperlink>
      <w:r w:rsidR="00954377">
        <w:rPr>
          <w:rFonts w:ascii="Century Gothic" w:hAnsi="Century Gothic"/>
          <w:color w:val="7F7F7F" w:themeColor="text1" w:themeTint="80"/>
          <w:lang w:val="it-IT"/>
        </w:rPr>
        <w:t>:</w:t>
      </w:r>
      <w:r w:rsidR="00297B9B"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="00297B9B" w:rsidRPr="004D2DEA">
        <w:rPr>
          <w:rFonts w:ascii="Century Gothic" w:hAnsi="Century Gothic"/>
          <w:color w:val="7F7F7F" w:themeColor="text1" w:themeTint="80"/>
          <w:lang w:val="it-IT"/>
        </w:rPr>
        <w:t xml:space="preserve">creati a partire dai licheni, nuova categoria di prodotti edibili </w:t>
      </w:r>
      <w:r w:rsidR="004D2DEA" w:rsidRPr="004D2DEA">
        <w:rPr>
          <w:rFonts w:ascii="Century Gothic" w:hAnsi="Century Gothic"/>
          <w:color w:val="7F7F7F" w:themeColor="text1" w:themeTint="80"/>
          <w:lang w:val="it-IT"/>
        </w:rPr>
        <w:t xml:space="preserve">che </w:t>
      </w:r>
      <w:r w:rsidR="00297B9B" w:rsidRPr="004D2DEA">
        <w:rPr>
          <w:rFonts w:ascii="Century Gothic" w:hAnsi="Century Gothic"/>
          <w:color w:val="7F7F7F" w:themeColor="text1" w:themeTint="80"/>
          <w:lang w:val="it-IT"/>
        </w:rPr>
        <w:t xml:space="preserve">si pone come la soluzione del futuro in uno scenario da </w:t>
      </w:r>
      <w:r w:rsidR="001006B5" w:rsidRPr="004D2DEA">
        <w:rPr>
          <w:rFonts w:ascii="Century Gothic" w:hAnsi="Century Gothic"/>
          <w:color w:val="7F7F7F" w:themeColor="text1" w:themeTint="80"/>
          <w:lang w:val="it-IT"/>
        </w:rPr>
        <w:t>fine del mondo e delle risorse finora conosciute</w:t>
      </w:r>
      <w:r w:rsidR="00297B9B" w:rsidRPr="004D2DEA">
        <w:rPr>
          <w:rFonts w:ascii="Century Gothic" w:hAnsi="Century Gothic"/>
          <w:color w:val="7F7F7F" w:themeColor="text1" w:themeTint="80"/>
          <w:lang w:val="it-IT"/>
        </w:rPr>
        <w:t>.</w:t>
      </w:r>
    </w:p>
    <w:p w14:paraId="2E99B5C3" w14:textId="77777777" w:rsidR="00080B2B" w:rsidRPr="004D2DEA" w:rsidRDefault="00080B2B" w:rsidP="003D387F">
      <w:pPr>
        <w:spacing w:line="360" w:lineRule="auto"/>
        <w:rPr>
          <w:rFonts w:ascii="Century Gothic" w:hAnsi="Century Gothic"/>
          <w:color w:val="7F7F7F" w:themeColor="text1" w:themeTint="80"/>
          <w:lang w:val="it-IT"/>
        </w:rPr>
      </w:pPr>
    </w:p>
    <w:p w14:paraId="07371EFD" w14:textId="77777777" w:rsidR="004D2DEA" w:rsidRDefault="00080B2B" w:rsidP="003D387F">
      <w:pPr>
        <w:spacing w:line="360" w:lineRule="auto"/>
        <w:rPr>
          <w:rFonts w:ascii="Century Gothic" w:hAnsi="Century Gothic"/>
          <w:color w:val="7F7F7F" w:themeColor="text1" w:themeTint="80"/>
          <w:lang w:val="it-IT"/>
        </w:rPr>
      </w:pPr>
      <w:r w:rsidRPr="006475AF">
        <w:rPr>
          <w:rFonts w:ascii="Century Gothic" w:hAnsi="Century Gothic"/>
          <w:b/>
          <w:color w:val="808080" w:themeColor="background1" w:themeShade="80"/>
          <w:lang w:val="it-IT"/>
        </w:rPr>
        <w:t xml:space="preserve">4. </w:t>
      </w:r>
      <w:r w:rsidRPr="006475AF">
        <w:rPr>
          <w:rFonts w:ascii="Century Gothic" w:hAnsi="Century Gothic"/>
          <w:b/>
          <w:color w:val="77933B"/>
          <w:lang w:val="it-IT"/>
        </w:rPr>
        <w:t>TO REJECT</w:t>
      </w:r>
      <w:r w:rsidR="00EB3E9E">
        <w:rPr>
          <w:rFonts w:ascii="Century Gothic" w:hAnsi="Century Gothic"/>
          <w:b/>
          <w:color w:val="77933B"/>
          <w:lang w:val="it-IT"/>
        </w:rPr>
        <w:t>:</w:t>
      </w:r>
      <w:r w:rsidR="000E402D" w:rsidRPr="006475AF">
        <w:rPr>
          <w:rFonts w:ascii="Century Gothic" w:hAnsi="Century Gothic"/>
          <w:b/>
          <w:color w:val="77933B"/>
          <w:lang w:val="it-IT"/>
        </w:rPr>
        <w:t xml:space="preserve"> </w:t>
      </w:r>
      <w:r w:rsidR="000E402D" w:rsidRPr="00954377">
        <w:rPr>
          <w:rFonts w:ascii="Century Gothic" w:hAnsi="Century Gothic"/>
          <w:b/>
          <w:color w:val="000000" w:themeColor="text1"/>
          <w:lang w:val="it-IT"/>
        </w:rPr>
        <w:t>#DARK!</w:t>
      </w:r>
      <w:r w:rsidR="000E402D" w:rsidRPr="00954377">
        <w:rPr>
          <w:rFonts w:ascii="Century Gothic" w:hAnsi="Century Gothic"/>
          <w:color w:val="000000" w:themeColor="text1"/>
          <w:lang w:val="it-IT"/>
        </w:rPr>
        <w:t xml:space="preserve"> </w:t>
      </w:r>
      <w:proofErr w:type="gramStart"/>
      <w:r w:rsidR="000E402D" w:rsidRPr="004D2DEA">
        <w:rPr>
          <w:rFonts w:ascii="Century Gothic" w:hAnsi="Century Gothic"/>
          <w:b/>
          <w:color w:val="808080" w:themeColor="background1" w:themeShade="80"/>
          <w:lang w:val="it-IT"/>
        </w:rPr>
        <w:t>è</w:t>
      </w:r>
      <w:proofErr w:type="gramEnd"/>
      <w:r w:rsidR="000E402D" w:rsidRPr="004D2DEA">
        <w:rPr>
          <w:rFonts w:ascii="Century Gothic" w:hAnsi="Century Gothic"/>
          <w:b/>
          <w:color w:val="808080" w:themeColor="background1" w:themeShade="80"/>
          <w:lang w:val="it-IT"/>
        </w:rPr>
        <w:t xml:space="preserve"> volontà di respingimento, oscurantismo talora, certamente volontà di non apertura</w:t>
      </w:r>
      <w:r w:rsidR="000E402D" w:rsidRPr="006475AF">
        <w:rPr>
          <w:rFonts w:ascii="Century Gothic" w:hAnsi="Century Gothic"/>
          <w:color w:val="808080" w:themeColor="background1" w:themeShade="80"/>
          <w:lang w:val="it-IT"/>
        </w:rPr>
        <w:t>:</w:t>
      </w:r>
      <w:r w:rsidRPr="006475AF">
        <w:rPr>
          <w:rFonts w:ascii="Century Gothic" w:hAnsi="Century Gothic"/>
          <w:color w:val="77933B"/>
          <w:lang w:val="it-IT"/>
        </w:rPr>
        <w:t xml:space="preserve"> </w:t>
      </w:r>
      <w:r w:rsidR="000E402D" w:rsidRPr="006475AF">
        <w:rPr>
          <w:rFonts w:ascii="Century Gothic" w:hAnsi="Century Gothic"/>
          <w:color w:val="808080" w:themeColor="background1" w:themeShade="80"/>
          <w:lang w:val="it-IT"/>
        </w:rPr>
        <w:t>il più complesso e meno acc</w:t>
      </w:r>
      <w:r w:rsidR="00954377">
        <w:rPr>
          <w:rFonts w:ascii="Century Gothic" w:hAnsi="Century Gothic"/>
          <w:color w:val="808080" w:themeColor="background1" w:themeShade="80"/>
          <w:lang w:val="it-IT"/>
        </w:rPr>
        <w:t>o</w:t>
      </w:r>
      <w:r w:rsidR="000E402D" w:rsidRPr="006475AF">
        <w:rPr>
          <w:rFonts w:ascii="Century Gothic" w:hAnsi="Century Gothic"/>
          <w:color w:val="808080" w:themeColor="background1" w:themeShade="80"/>
          <w:lang w:val="it-IT"/>
        </w:rPr>
        <w:t>gliente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dei quattro scenari. I 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trend: </w:t>
      </w:r>
      <w:r w:rsidRPr="006475AF">
        <w:rPr>
          <w:rFonts w:ascii="Century Gothic" w:hAnsi="Century Gothic"/>
          <w:color w:val="77933B"/>
          <w:lang w:val="it-IT"/>
        </w:rPr>
        <w:t>PLAY DUMB</w:t>
      </w:r>
      <w:r w:rsidRPr="006475AF">
        <w:rPr>
          <w:rFonts w:ascii="Century Gothic" w:hAnsi="Century Gothic"/>
          <w:color w:val="7F7F7F" w:themeColor="text1" w:themeTint="80"/>
          <w:lang w:val="it-IT"/>
        </w:rPr>
        <w:t xml:space="preserve"> e </w:t>
      </w:r>
      <w:r w:rsidRPr="006475AF">
        <w:rPr>
          <w:rFonts w:ascii="Century Gothic" w:hAnsi="Century Gothic"/>
          <w:color w:val="77933B"/>
          <w:lang w:val="it-IT"/>
        </w:rPr>
        <w:t>CACHE</w:t>
      </w:r>
      <w:r w:rsidR="004D2DEA">
        <w:rPr>
          <w:rFonts w:ascii="Century Gothic" w:hAnsi="Century Gothic"/>
          <w:color w:val="77933B"/>
          <w:lang w:val="it-IT"/>
        </w:rPr>
        <w:t>,</w:t>
      </w:r>
      <w:r w:rsidRPr="006475AF">
        <w:rPr>
          <w:rFonts w:ascii="Century Gothic" w:hAnsi="Century Gothic"/>
          <w:color w:val="77933B"/>
          <w:lang w:val="it-IT"/>
        </w:rPr>
        <w:t xml:space="preserve"> </w:t>
      </w:r>
      <w:r w:rsidR="00105263" w:rsidRPr="006475AF">
        <w:rPr>
          <w:rFonts w:ascii="Century Gothic" w:hAnsi="Century Gothic"/>
          <w:color w:val="7F7F7F" w:themeColor="text1" w:themeTint="80"/>
          <w:lang w:val="it-IT"/>
        </w:rPr>
        <w:t>rappresen</w:t>
      </w:r>
      <w:r w:rsidR="004D2DEA">
        <w:rPr>
          <w:rFonts w:ascii="Century Gothic" w:hAnsi="Century Gothic"/>
          <w:color w:val="7F7F7F" w:themeColor="text1" w:themeTint="80"/>
          <w:lang w:val="it-IT"/>
        </w:rPr>
        <w:t>tano un filone di contrasto</w:t>
      </w:r>
      <w:r w:rsidR="00105263" w:rsidRPr="006475AF">
        <w:rPr>
          <w:rFonts w:ascii="Century Gothic" w:hAnsi="Century Gothic"/>
          <w:color w:val="7F7F7F" w:themeColor="text1" w:themeTint="80"/>
          <w:lang w:val="it-IT"/>
        </w:rPr>
        <w:t xml:space="preserve">, dove il rifiuto del confronto </w:t>
      </w:r>
      <w:r w:rsidR="004D2DEA">
        <w:rPr>
          <w:rFonts w:ascii="Century Gothic" w:hAnsi="Century Gothic"/>
          <w:color w:val="7F7F7F" w:themeColor="text1" w:themeTint="80"/>
          <w:lang w:val="it-IT"/>
        </w:rPr>
        <w:t>arriva a</w:t>
      </w:r>
      <w:r w:rsidR="000E402D" w:rsidRPr="006475AF">
        <w:rPr>
          <w:rFonts w:ascii="Century Gothic" w:hAnsi="Century Gothic"/>
          <w:color w:val="7F7F7F" w:themeColor="text1" w:themeTint="80"/>
          <w:lang w:val="it-IT"/>
        </w:rPr>
        <w:t xml:space="preserve"> </w:t>
      </w:r>
      <w:r w:rsidR="00105263" w:rsidRPr="006475AF">
        <w:rPr>
          <w:rFonts w:ascii="Century Gothic" w:hAnsi="Century Gothic"/>
          <w:color w:val="7F7F7F" w:themeColor="text1" w:themeTint="80"/>
          <w:lang w:val="it-IT"/>
        </w:rPr>
        <w:t>corrisponde</w:t>
      </w:r>
      <w:r w:rsidR="000E402D" w:rsidRPr="006475AF">
        <w:rPr>
          <w:rFonts w:ascii="Century Gothic" w:hAnsi="Century Gothic"/>
          <w:color w:val="7F7F7F" w:themeColor="text1" w:themeTint="80"/>
          <w:lang w:val="it-IT"/>
        </w:rPr>
        <w:t>re</w:t>
      </w:r>
      <w:r w:rsidR="00105263" w:rsidRPr="006475AF">
        <w:rPr>
          <w:rFonts w:ascii="Century Gothic" w:hAnsi="Century Gothic"/>
          <w:color w:val="7F7F7F" w:themeColor="text1" w:themeTint="80"/>
          <w:lang w:val="it-IT"/>
        </w:rPr>
        <w:t xml:space="preserve"> </w:t>
      </w:r>
      <w:r w:rsidR="000E402D" w:rsidRPr="006475AF">
        <w:rPr>
          <w:rFonts w:ascii="Century Gothic" w:hAnsi="Century Gothic"/>
          <w:color w:val="7F7F7F" w:themeColor="text1" w:themeTint="80"/>
          <w:lang w:val="it-IT"/>
        </w:rPr>
        <w:t xml:space="preserve">a una rimessa in discussione del concetto d’insieme di modernità/contemporaneità. </w:t>
      </w:r>
    </w:p>
    <w:p w14:paraId="303B7E25" w14:textId="29932DE7" w:rsidR="00505007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color w:val="7F7F7F" w:themeColor="text1" w:themeTint="80"/>
          <w:lang w:val="it-IT"/>
        </w:rPr>
        <w:t>I</w:t>
      </w:r>
      <w:r w:rsidR="000E402D" w:rsidRPr="006475AF">
        <w:rPr>
          <w:rFonts w:ascii="Century Gothic" w:hAnsi="Century Gothic"/>
          <w:color w:val="7F7F7F" w:themeColor="text1" w:themeTint="80"/>
          <w:lang w:val="it-IT"/>
        </w:rPr>
        <w:t>l</w:t>
      </w:r>
      <w:r w:rsidR="000E402D" w:rsidRPr="006475AF">
        <w:rPr>
          <w:rFonts w:ascii="Century Gothic" w:hAnsi="Century Gothic"/>
          <w:color w:val="808080" w:themeColor="background1" w:themeShade="80"/>
          <w:lang w:val="it-IT"/>
        </w:rPr>
        <w:t xml:space="preserve"> target di riferimento dei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proofErr w:type="spellStart"/>
      <w:r w:rsidRPr="006475AF">
        <w:rPr>
          <w:rFonts w:ascii="Century Gothic" w:hAnsi="Century Gothic"/>
          <w:color w:val="77933B"/>
          <w:lang w:val="it-IT"/>
        </w:rPr>
        <w:t>Deniers</w:t>
      </w:r>
      <w:proofErr w:type="spellEnd"/>
      <w:r w:rsidRPr="006475AF">
        <w:rPr>
          <w:rFonts w:ascii="Century Gothic" w:hAnsi="Century Gothic"/>
          <w:color w:val="77933B"/>
          <w:lang w:val="it-IT"/>
        </w:rPr>
        <w:t xml:space="preserve"> </w:t>
      </w:r>
      <w:r w:rsidR="004D2DEA">
        <w:rPr>
          <w:rFonts w:ascii="Century Gothic" w:hAnsi="Century Gothic"/>
          <w:color w:val="808080" w:themeColor="background1" w:themeShade="80"/>
          <w:lang w:val="it-IT"/>
        </w:rPr>
        <w:t>si rad</w:t>
      </w:r>
      <w:r w:rsidR="000E402D" w:rsidRPr="006475AF">
        <w:rPr>
          <w:rFonts w:ascii="Century Gothic" w:hAnsi="Century Gothic"/>
          <w:color w:val="808080" w:themeColor="background1" w:themeShade="80"/>
          <w:lang w:val="it-IT"/>
        </w:rPr>
        <w:t>ic</w:t>
      </w:r>
      <w:r w:rsidR="00954377">
        <w:rPr>
          <w:rFonts w:ascii="Century Gothic" w:hAnsi="Century Gothic"/>
          <w:color w:val="808080" w:themeColor="background1" w:themeShade="80"/>
          <w:lang w:val="it-IT"/>
        </w:rPr>
        <w:t>a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nell</w:t>
      </w:r>
      <w:r w:rsidR="000E402D" w:rsidRPr="006475AF">
        <w:rPr>
          <w:rFonts w:ascii="Century Gothic" w:hAnsi="Century Gothic"/>
          <w:color w:val="808080" w:themeColor="background1" w:themeShade="80"/>
          <w:lang w:val="it-IT"/>
        </w:rPr>
        <w:t>e proprie con</w:t>
      </w:r>
      <w:r w:rsidR="004D2DEA">
        <w:rPr>
          <w:rFonts w:ascii="Century Gothic" w:hAnsi="Century Gothic"/>
          <w:color w:val="808080" w:themeColor="background1" w:themeShade="80"/>
          <w:lang w:val="it-IT"/>
        </w:rPr>
        <w:t>vinzioni, rifiuta il dialogo, vive</w:t>
      </w:r>
      <w:r w:rsidR="000E402D" w:rsidRPr="006475AF">
        <w:rPr>
          <w:rFonts w:ascii="Century Gothic" w:hAnsi="Century Gothic"/>
          <w:color w:val="808080" w:themeColor="background1" w:themeShade="80"/>
          <w:lang w:val="it-IT"/>
        </w:rPr>
        <w:t xml:space="preserve"> un contesto</w:t>
      </w:r>
      <w:r w:rsidR="004D2DEA">
        <w:rPr>
          <w:rFonts w:ascii="Century Gothic" w:hAnsi="Century Gothic"/>
          <w:color w:val="808080" w:themeColor="background1" w:themeShade="80"/>
          <w:lang w:val="it-IT"/>
        </w:rPr>
        <w:t xml:space="preserve"> impermeabile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in cui trovano posto le sfilate in maschera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lastRenderedPageBreak/>
        <w:t xml:space="preserve">di </w:t>
      </w:r>
      <w:hyperlink r:id="rId18" w:history="1">
        <w:proofErr w:type="spellStart"/>
        <w:r w:rsidRPr="006475AF">
          <w:rPr>
            <w:rStyle w:val="Collegamentoipertestuale"/>
            <w:rFonts w:ascii="Century Gothic" w:hAnsi="Century Gothic"/>
            <w:lang w:val="it-IT"/>
          </w:rPr>
          <w:t>Blindness</w:t>
        </w:r>
        <w:proofErr w:type="spellEnd"/>
        <w:r w:rsidRPr="006475AF">
          <w:rPr>
            <w:rStyle w:val="Collegamentoipertestuale"/>
            <w:rFonts w:ascii="Century Gothic" w:hAnsi="Century Gothic"/>
            <w:lang w:val="it-IT"/>
          </w:rPr>
          <w:t xml:space="preserve"> Studio</w:t>
        </w:r>
      </w:hyperlink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o i design puliti di </w:t>
      </w:r>
      <w:hyperlink r:id="rId19" w:history="1">
        <w:r w:rsidRPr="006475AF">
          <w:rPr>
            <w:rStyle w:val="Collegamentoipertestuale"/>
            <w:rFonts w:ascii="Century Gothic" w:hAnsi="Century Gothic"/>
            <w:lang w:val="it-IT"/>
          </w:rPr>
          <w:t>David Pompa</w:t>
        </w:r>
      </w:hyperlink>
      <w:r w:rsidR="004D2DEA">
        <w:rPr>
          <w:rFonts w:ascii="Century Gothic" w:hAnsi="Century Gothic"/>
          <w:color w:val="808080" w:themeColor="background1" w:themeShade="80"/>
          <w:lang w:val="it-IT"/>
        </w:rPr>
        <w:t>: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che in antitesi con lo sviluppo tecnologico propongono oggetti semplici e non connessi, né connettibili. </w:t>
      </w:r>
    </w:p>
    <w:p w14:paraId="21237F59" w14:textId="77777777" w:rsidR="000E402D" w:rsidRPr="006475AF" w:rsidRDefault="000E402D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16D44229" w14:textId="7A882608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La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valenza strategica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dell’analisi delle tendenze effettuata grazie a</w:t>
      </w:r>
      <w:r w:rsidR="00505007"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TREND MONITOR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®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consente di in</w:t>
      </w:r>
      <w:r w:rsidR="000E402D" w:rsidRPr="006475AF">
        <w:rPr>
          <w:rFonts w:ascii="Century Gothic" w:hAnsi="Century Gothic"/>
          <w:color w:val="808080" w:themeColor="background1" w:themeShade="80"/>
          <w:lang w:val="it-IT"/>
        </w:rPr>
        <w:t xml:space="preserve">dividuare in anticipo e in modo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immediatamente </w:t>
      </w:r>
      <w:proofErr w:type="spellStart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actionable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>,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all’interfaccia con le diverse tipologie di ricerca di mercato ad hoc, concetti di prodotto e di comunicazione, così come target emergenti, al fine di guidare un brand nella costruzione, nella ridefinizione, nell’aggiornamento della propria identità, in un’ottica di produzione di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Good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="009E0B75">
        <w:rPr>
          <w:rFonts w:ascii="Century Gothic" w:hAnsi="Century Gothic"/>
          <w:color w:val="808080" w:themeColor="background1" w:themeShade="80"/>
          <w:lang w:val="it-IT"/>
        </w:rPr>
        <w:t>D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ata, tra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profilazione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degli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early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adopters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e identificazione dei segnali anticipatori.</w:t>
      </w:r>
    </w:p>
    <w:p w14:paraId="67FAE999" w14:textId="77777777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1FE07018" w14:textId="1958C823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color w:val="808080" w:themeColor="background1" w:themeShade="80"/>
          <w:lang w:val="it-IT"/>
        </w:rPr>
        <w:t>TREND MONITOR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®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procede attraverso un approccio cross-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method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: osservazione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continuativa e internazionale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dei segnali di tendenza per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12 paesi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“focolaio” (Italia, Francia, UK, Germania, Spagna, Turchia, Brasile, USA, Giappone, India, Cina, Russia) +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analisi semiotica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degli stessi segnali</w:t>
      </w:r>
      <w:r w:rsidR="00E139DA"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+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screening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dei comportamenti in rete.</w:t>
      </w:r>
    </w:p>
    <w:p w14:paraId="2923AE51" w14:textId="2388CCF5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Lo studio si concentra su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9 </w:t>
      </w:r>
      <w:proofErr w:type="spellStart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industries</w:t>
      </w:r>
      <w:proofErr w:type="spellEnd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(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food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,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beverage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,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mobility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, body, fashion,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retail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, hi-tech, comunicazione, home) per una definizione mirata degli obiettivi di mercato.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Il rapporto di ricerca è acquistabile in 3 diversi format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per consentire di acquisire il capitale di indagine secondo le singole esigenze: </w:t>
      </w:r>
      <w:proofErr w:type="spellStart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main</w:t>
      </w:r>
      <w:proofErr w:type="spellEnd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(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main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trends 12 paesi+ 9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industries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>);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mini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(estratto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main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trends +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max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4 paesi e 4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industries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>)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; ad hoc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(declinazione dei trend sulle problematiche dell’azienda cliente +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field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customizzato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>), per una massima fruibilità e garanzia di lettura anche singolare dei risultati.</w:t>
      </w:r>
    </w:p>
    <w:p w14:paraId="58E313A5" w14:textId="77777777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1A758E57" w14:textId="77777777" w:rsidR="00080B2B" w:rsidRPr="006475AF" w:rsidRDefault="00080B2B" w:rsidP="000E402D">
      <w:pPr>
        <w:rPr>
          <w:rFonts w:ascii="Century Gothic" w:hAnsi="Century Gothic"/>
          <w:b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Per info:</w:t>
      </w:r>
    </w:p>
    <w:p w14:paraId="2AE25A93" w14:textId="79FF7507" w:rsidR="00080B2B" w:rsidRPr="006475AF" w:rsidRDefault="008F0150" w:rsidP="000E402D">
      <w:pPr>
        <w:rPr>
          <w:rStyle w:val="Collegamentoipertestuale"/>
          <w:rFonts w:ascii="Century Gothic" w:hAnsi="Century Gothic"/>
          <w:b/>
          <w:bCs/>
          <w:color w:val="808080" w:themeColor="background1" w:themeShade="80"/>
          <w:lang w:val="it-IT"/>
        </w:rPr>
      </w:pPr>
      <w:hyperlink r:id="rId20" w:history="1">
        <w:r w:rsidR="00080B2B" w:rsidRPr="006475AF">
          <w:rPr>
            <w:rStyle w:val="Collegamentoipertestuale"/>
            <w:rFonts w:ascii="Century Gothic" w:hAnsi="Century Gothic"/>
            <w:b/>
            <w:bCs/>
            <w:lang w:val="it-IT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baba@babaconsulting.com</w:t>
        </w:r>
      </w:hyperlink>
    </w:p>
    <w:p w14:paraId="48B9915E" w14:textId="77777777" w:rsidR="00080B2B" w:rsidRPr="006475AF" w:rsidRDefault="00080B2B" w:rsidP="000E402D">
      <w:pPr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Corso Magenta, 31 </w:t>
      </w:r>
    </w:p>
    <w:p w14:paraId="120AA66E" w14:textId="77777777" w:rsidR="00080B2B" w:rsidRPr="006475AF" w:rsidRDefault="00080B2B" w:rsidP="000E402D">
      <w:pPr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>20123 Milano I</w:t>
      </w:r>
    </w:p>
    <w:p w14:paraId="5EFA0E83" w14:textId="4DEF9A07" w:rsidR="00EB5C3A" w:rsidRPr="006475AF" w:rsidRDefault="00080B2B" w:rsidP="00297B9B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>+39 02 83241678</w:t>
      </w:r>
    </w:p>
    <w:sectPr w:rsidR="00EB5C3A" w:rsidRPr="006475AF" w:rsidSect="009D503C">
      <w:headerReference w:type="default" r:id="rId21"/>
      <w:type w:val="continuous"/>
      <w:pgSz w:w="11906" w:h="16838" w:code="9"/>
      <w:pgMar w:top="1985" w:right="1123" w:bottom="-1418" w:left="992" w:header="42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30680F" w14:textId="77777777" w:rsidR="009D5688" w:rsidRDefault="009D5688">
      <w:r>
        <w:separator/>
      </w:r>
    </w:p>
  </w:endnote>
  <w:endnote w:type="continuationSeparator" w:id="0">
    <w:p w14:paraId="3192F96A" w14:textId="77777777" w:rsidR="009D5688" w:rsidRDefault="009D5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charset w:val="81"/>
    <w:family w:val="auto"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1DFF2" w14:textId="77777777" w:rsidR="003D387F" w:rsidRDefault="003D387F" w:rsidP="003D387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626546F" w14:textId="77777777" w:rsidR="003D387F" w:rsidRDefault="003D387F" w:rsidP="003D387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5D2DE" w14:textId="77777777" w:rsidR="003D387F" w:rsidRDefault="003D387F" w:rsidP="003D387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F0150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27BE0077" w14:textId="77777777" w:rsidR="003D387F" w:rsidRPr="00A16F7D" w:rsidRDefault="003D387F" w:rsidP="003D387F">
    <w:pPr>
      <w:ind w:right="360"/>
      <w:jc w:val="center"/>
      <w:rPr>
        <w:rFonts w:ascii="Century Gothic" w:hAnsi="Century Gothic"/>
        <w:color w:val="808080"/>
        <w:sz w:val="20"/>
        <w:szCs w:val="20"/>
        <w:lang w:val="it-IT"/>
      </w:rPr>
    </w:pPr>
  </w:p>
  <w:p w14:paraId="3F249C6A" w14:textId="77777777" w:rsidR="003D387F" w:rsidRPr="00A16F7D" w:rsidRDefault="003D387F" w:rsidP="00000B5A">
    <w:pPr>
      <w:jc w:val="center"/>
      <w:rPr>
        <w:rFonts w:ascii="Century Gothic" w:hAnsi="Century Gothic"/>
        <w:color w:val="808080"/>
        <w:sz w:val="20"/>
        <w:szCs w:val="20"/>
        <w:lang w:val="it-IT"/>
      </w:rPr>
    </w:pPr>
  </w:p>
  <w:p w14:paraId="66BF6847" w14:textId="1CF2661D" w:rsidR="003D387F" w:rsidRPr="00080B2B" w:rsidRDefault="003D387F" w:rsidP="00000B5A">
    <w:pPr>
      <w:jc w:val="center"/>
      <w:rPr>
        <w:rFonts w:ascii="Century Gothic" w:hAnsi="Century Gothic"/>
        <w:color w:val="808080"/>
        <w:sz w:val="20"/>
        <w:szCs w:val="20"/>
        <w:lang w:val="it-IT"/>
      </w:rPr>
    </w:pPr>
    <w:r w:rsidRPr="00080B2B">
      <w:rPr>
        <w:rFonts w:ascii="Century Gothic" w:hAnsi="Century Gothic"/>
        <w:color w:val="808080"/>
        <w:sz w:val="20"/>
        <w:szCs w:val="20"/>
        <w:lang w:val="it-IT"/>
      </w:rPr>
      <w:t xml:space="preserve">baba S.r.l Corso Magenta 31 - 20123 Milano - Tel 02.83241678 </w:t>
    </w:r>
  </w:p>
  <w:p w14:paraId="581051EB" w14:textId="77777777" w:rsidR="003D387F" w:rsidRPr="00000B5A" w:rsidRDefault="003D387F" w:rsidP="00000B5A">
    <w:pPr>
      <w:jc w:val="center"/>
      <w:rPr>
        <w:rFonts w:ascii="Century Gothic" w:hAnsi="Century Gothic"/>
        <w:color w:val="808080"/>
        <w:sz w:val="20"/>
        <w:szCs w:val="20"/>
        <w:lang w:val="en-US"/>
      </w:rPr>
    </w:pPr>
    <w:r>
      <w:rPr>
        <w:rFonts w:ascii="Century Gothic" w:hAnsi="Century Gothic"/>
        <w:color w:val="808080"/>
        <w:sz w:val="20"/>
        <w:szCs w:val="20"/>
        <w:lang w:val="en-US"/>
      </w:rPr>
      <w:t>baba@babaconsulting.com</w:t>
    </w:r>
  </w:p>
  <w:p w14:paraId="2246C192" w14:textId="3C79148A" w:rsidR="003D387F" w:rsidRDefault="003D387F">
    <w:pPr>
      <w:pStyle w:val="Pidipagina"/>
      <w:tabs>
        <w:tab w:val="clear" w:pos="9072"/>
        <w:tab w:val="right" w:pos="9720"/>
      </w:tabs>
      <w:jc w:val="left"/>
      <w:rPr>
        <w:sz w:val="16"/>
        <w:lang w:val="en-US"/>
      </w:rPr>
    </w:pPr>
    <w:r>
      <w:rPr>
        <w:rStyle w:val="Numeropagina"/>
        <w:b/>
        <w:bCs/>
        <w:sz w:val="16"/>
        <w:lang w:val="en-US"/>
      </w:rPr>
      <w:tab/>
    </w:r>
    <w:r>
      <w:rPr>
        <w:rStyle w:val="Numeropagina"/>
        <w:b/>
        <w:bCs/>
        <w:sz w:val="16"/>
        <w:lang w:val="en-US"/>
      </w:rPr>
      <w:tab/>
    </w:r>
    <w:r>
      <w:rPr>
        <w:rStyle w:val="Numeropagina"/>
        <w:sz w:val="16"/>
        <w:lang w:val="en-US"/>
      </w:rPr>
      <w:t>Page /</w:t>
    </w:r>
    <w:r>
      <w:rPr>
        <w:rStyle w:val="Numeropagina"/>
        <w:sz w:val="16"/>
      </w:rPr>
      <w:fldChar w:fldCharType="begin"/>
    </w:r>
    <w:r>
      <w:rPr>
        <w:rStyle w:val="Numeropagina"/>
        <w:sz w:val="16"/>
        <w:lang w:val="en-US"/>
      </w:rPr>
      <w:instrText xml:space="preserve"> NUMPAGES </w:instrText>
    </w:r>
    <w:r>
      <w:rPr>
        <w:rStyle w:val="Numeropagina"/>
        <w:sz w:val="16"/>
      </w:rPr>
      <w:fldChar w:fldCharType="separate"/>
    </w:r>
    <w:r w:rsidR="008F0150">
      <w:rPr>
        <w:rStyle w:val="Numeropagina"/>
        <w:noProof/>
        <w:sz w:val="16"/>
        <w:lang w:val="en-US"/>
      </w:rPr>
      <w:t>4</w:t>
    </w:r>
    <w:r>
      <w:rPr>
        <w:rStyle w:val="Numeropagina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53FA0" w14:textId="2CB5423B" w:rsidR="003D387F" w:rsidRPr="00080B2B" w:rsidRDefault="003D387F" w:rsidP="00A239DB">
    <w:pPr>
      <w:jc w:val="center"/>
      <w:rPr>
        <w:rFonts w:ascii="Century Gothic" w:hAnsi="Century Gothic"/>
        <w:color w:val="808080"/>
        <w:sz w:val="20"/>
        <w:szCs w:val="20"/>
        <w:lang w:val="it-IT"/>
      </w:rPr>
    </w:pPr>
    <w:r w:rsidRPr="00080B2B">
      <w:rPr>
        <w:rFonts w:ascii="Century Gothic" w:hAnsi="Century Gothic"/>
        <w:color w:val="808080"/>
        <w:sz w:val="20"/>
        <w:szCs w:val="20"/>
        <w:lang w:val="it-IT"/>
      </w:rPr>
      <w:t>baba s.r.l - corso Magenta 31 - 20123 Milano</w:t>
    </w:r>
  </w:p>
  <w:p w14:paraId="3F709F90" w14:textId="0210AA49" w:rsidR="003D387F" w:rsidRPr="00080B2B" w:rsidRDefault="003D387F" w:rsidP="00A239DB">
    <w:pPr>
      <w:jc w:val="center"/>
      <w:rPr>
        <w:rFonts w:ascii="Century Gothic" w:hAnsi="Century Gothic"/>
        <w:color w:val="808080"/>
        <w:sz w:val="20"/>
        <w:szCs w:val="20"/>
        <w:lang w:val="it-IT"/>
      </w:rPr>
    </w:pPr>
    <w:r w:rsidRPr="00080B2B">
      <w:rPr>
        <w:rFonts w:ascii="Century Gothic" w:hAnsi="Century Gothic"/>
        <w:color w:val="808080"/>
        <w:sz w:val="20"/>
        <w:szCs w:val="20"/>
        <w:lang w:val="it-IT"/>
      </w:rPr>
      <w:t>Tel + 39. 02.83.24.16.78 – p. IVA 13375070151</w:t>
    </w:r>
    <w:r>
      <w:rPr>
        <w:rFonts w:ascii="Century Gothic" w:hAnsi="Century Gothic"/>
        <w:color w:val="808080"/>
        <w:sz w:val="20"/>
        <w:szCs w:val="20"/>
        <w:lang w:val="it-IT"/>
      </w:rPr>
      <w:t xml:space="preserve">- </w:t>
    </w:r>
    <w:r w:rsidRPr="00080B2B">
      <w:rPr>
        <w:rFonts w:ascii="Century Gothic" w:hAnsi="Century Gothic"/>
        <w:color w:val="808080"/>
        <w:sz w:val="20"/>
        <w:szCs w:val="20"/>
        <w:lang w:val="it-IT"/>
      </w:rPr>
      <w:t>baba@babaconsulting.com</w:t>
    </w:r>
  </w:p>
  <w:p w14:paraId="19DE7657" w14:textId="77777777" w:rsidR="003D387F" w:rsidRPr="00080B2B" w:rsidRDefault="003D387F">
    <w:pPr>
      <w:pStyle w:val="Pidipagina"/>
      <w:tabs>
        <w:tab w:val="right" w:pos="9720"/>
      </w:tabs>
      <w:jc w:val="left"/>
      <w:rPr>
        <w:rStyle w:val="Numeropagina"/>
        <w:b/>
        <w:bCs/>
        <w:color w:val="333399"/>
        <w:sz w:val="16"/>
        <w:lang w:val="it-IT"/>
      </w:rPr>
    </w:pPr>
  </w:p>
  <w:p w14:paraId="066EA13B" w14:textId="77777777" w:rsidR="003D387F" w:rsidRPr="00080B2B" w:rsidRDefault="003D387F">
    <w:pPr>
      <w:pStyle w:val="Pidipagina"/>
      <w:tabs>
        <w:tab w:val="right" w:pos="9720"/>
      </w:tabs>
      <w:jc w:val="left"/>
      <w:rPr>
        <w:rStyle w:val="Numeropagina"/>
        <w:b/>
        <w:bCs/>
        <w:color w:val="333399"/>
        <w:sz w:val="16"/>
        <w:lang w:val="it-IT"/>
      </w:rPr>
    </w:pPr>
  </w:p>
  <w:p w14:paraId="5D2BFBB2" w14:textId="77777777" w:rsidR="003D387F" w:rsidRPr="00080B2B" w:rsidRDefault="003D387F">
    <w:pPr>
      <w:pStyle w:val="Pidipagina"/>
      <w:tabs>
        <w:tab w:val="clear" w:pos="9072"/>
        <w:tab w:val="right" w:pos="9720"/>
      </w:tabs>
      <w:jc w:val="left"/>
      <w:rPr>
        <w:sz w:val="16"/>
        <w:lang w:val="it-I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CD905B" w14:textId="77777777" w:rsidR="009D5688" w:rsidRDefault="009D5688">
      <w:r>
        <w:separator/>
      </w:r>
    </w:p>
  </w:footnote>
  <w:footnote w:type="continuationSeparator" w:id="0">
    <w:p w14:paraId="3D95FD99" w14:textId="77777777" w:rsidR="009D5688" w:rsidRDefault="009D56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5C77D" w14:textId="77777777" w:rsidR="003D387F" w:rsidRDefault="003D387F">
    <w:pPr>
      <w:pStyle w:val="Intestazione"/>
    </w:pPr>
    <w:r>
      <w:rPr>
        <w:noProof/>
        <w:lang w:val="it-IT" w:eastAsia="it-IT"/>
      </w:rPr>
      <w:drawing>
        <wp:inline distT="0" distB="0" distL="0" distR="0" wp14:anchorId="41BC9DBE" wp14:editId="7BFC654D">
          <wp:extent cx="1562100" cy="584200"/>
          <wp:effectExtent l="0" t="0" r="12700" b="0"/>
          <wp:docPr id="2" name="Immagine 2" descr="Dedi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di 14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C640A" w14:textId="77777777" w:rsidR="003D387F" w:rsidRDefault="003D387F">
    <w:pPr>
      <w:pStyle w:val="Intestazione"/>
      <w:jc w:val="left"/>
    </w:pPr>
  </w:p>
  <w:p w14:paraId="30C6A754" w14:textId="77777777" w:rsidR="003D387F" w:rsidRDefault="003D387F">
    <w:pPr>
      <w:pStyle w:val="Intestazione"/>
      <w:jc w:val="left"/>
      <w:rPr>
        <w:sz w:val="16"/>
        <w:szCs w:val="16"/>
        <w:lang w:val="en-US"/>
      </w:rPr>
    </w:pPr>
    <w:r>
      <w:rPr>
        <w:noProof/>
        <w:lang w:val="it-IT" w:eastAsia="it-IT"/>
      </w:rPr>
      <w:drawing>
        <wp:inline distT="0" distB="0" distL="0" distR="0" wp14:anchorId="1CC72EAA" wp14:editId="2055F49F">
          <wp:extent cx="1219200" cy="673100"/>
          <wp:effectExtent l="0" t="0" r="0" b="12700"/>
          <wp:docPr id="1" name="Immagine 1" descr="LOGO GRIGIO chia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RIGIO chia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F5BA3" w14:textId="7CAE0608" w:rsidR="003D387F" w:rsidRDefault="003D387F">
    <w:pPr>
      <w:pStyle w:val="Intestazione"/>
    </w:pPr>
    <w:r>
      <w:rPr>
        <w:noProof/>
        <w:lang w:val="it-IT" w:eastAsia="it-IT"/>
      </w:rPr>
      <w:drawing>
        <wp:inline distT="0" distB="0" distL="0" distR="0" wp14:anchorId="3B2A6156" wp14:editId="63E4F788">
          <wp:extent cx="1219200" cy="673100"/>
          <wp:effectExtent l="0" t="0" r="0" b="12700"/>
          <wp:docPr id="3" name="Immagine 3" descr="LOGO GRIGIO chia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RIGIO chia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FC60BE"/>
    <w:multiLevelType w:val="hybridMultilevel"/>
    <w:tmpl w:val="D60053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55297"/>
    <w:multiLevelType w:val="hybridMultilevel"/>
    <w:tmpl w:val="9D8A37FC"/>
    <w:name w:val="Points2"/>
    <w:lvl w:ilvl="0" w:tplc="E14A62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226D2"/>
    <w:multiLevelType w:val="hybridMultilevel"/>
    <w:tmpl w:val="FDE6290C"/>
    <w:lvl w:ilvl="0" w:tplc="2C844F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881D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DC2D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78EA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7C35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0630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DCF5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684B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6801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B45E36"/>
    <w:multiLevelType w:val="hybridMultilevel"/>
    <w:tmpl w:val="FC5AD5E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51B7172"/>
    <w:multiLevelType w:val="hybridMultilevel"/>
    <w:tmpl w:val="C4E081F8"/>
    <w:lvl w:ilvl="0" w:tplc="A9DE5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4C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002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BCD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20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728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688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56B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44A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5E6531D"/>
    <w:multiLevelType w:val="hybridMultilevel"/>
    <w:tmpl w:val="B2A29CE2"/>
    <w:lvl w:ilvl="0" w:tplc="092C35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084420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0C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09C4B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93A39F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0B8B88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A320F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864D7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1D4EDF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>
    <w:nsid w:val="17F41AA9"/>
    <w:multiLevelType w:val="hybridMultilevel"/>
    <w:tmpl w:val="7142501E"/>
    <w:lvl w:ilvl="0" w:tplc="F6EED502">
      <w:start w:val="1"/>
      <w:numFmt w:val="bullet"/>
      <w:pStyle w:val="Bulletronde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18DB3EB5"/>
    <w:multiLevelType w:val="hybridMultilevel"/>
    <w:tmpl w:val="6E6A645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1D05044B"/>
    <w:multiLevelType w:val="hybridMultilevel"/>
    <w:tmpl w:val="A4D05C68"/>
    <w:lvl w:ilvl="0" w:tplc="6F3CDB1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5210B5"/>
    <w:multiLevelType w:val="hybridMultilevel"/>
    <w:tmpl w:val="BF50EC32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A02C32"/>
    <w:multiLevelType w:val="hybridMultilevel"/>
    <w:tmpl w:val="51B289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ED3BD0"/>
    <w:multiLevelType w:val="hybridMultilevel"/>
    <w:tmpl w:val="CDF26ABA"/>
    <w:lvl w:ilvl="0" w:tplc="AA3A0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BE7F07"/>
    <w:multiLevelType w:val="hybridMultilevel"/>
    <w:tmpl w:val="2BB639DC"/>
    <w:lvl w:ilvl="0" w:tplc="AA3A0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6447D9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724236"/>
    <w:multiLevelType w:val="hybridMultilevel"/>
    <w:tmpl w:val="8D883A28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A244EE3"/>
    <w:multiLevelType w:val="multilevel"/>
    <w:tmpl w:val="501CBC84"/>
    <w:name w:val="Points"/>
    <w:lvl w:ilvl="0">
      <w:start w:val="1"/>
      <w:numFmt w:val="decimal"/>
      <w:pStyle w:val="Titolo1"/>
      <w:lvlText w:val="%1."/>
      <w:lvlJc w:val="left"/>
      <w:pPr>
        <w:tabs>
          <w:tab w:val="num" w:pos="3864"/>
        </w:tabs>
        <w:ind w:left="3864" w:hanging="624"/>
      </w:pPr>
      <w:rPr>
        <w:rFonts w:hint="default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737"/>
        </w:tabs>
        <w:ind w:left="737" w:hanging="737"/>
      </w:pPr>
      <w:rPr>
        <w:rFonts w:hint="default"/>
        <w:u w:val="none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pStyle w:val="Titolo4"/>
      <w:lvlText w:val="%1.%2.%3.%4.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.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2B870DEB"/>
    <w:multiLevelType w:val="hybridMultilevel"/>
    <w:tmpl w:val="5B346FDE"/>
    <w:lvl w:ilvl="0" w:tplc="7E6C7B2A">
      <w:numFmt w:val="bullet"/>
      <w:pStyle w:val="Style1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85"/>
        </w:tabs>
        <w:ind w:left="5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</w:abstractNum>
  <w:abstractNum w:abstractNumId="19">
    <w:nsid w:val="2D7D4626"/>
    <w:multiLevelType w:val="hybridMultilevel"/>
    <w:tmpl w:val="C2861F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F32F70"/>
    <w:multiLevelType w:val="hybridMultilevel"/>
    <w:tmpl w:val="27F4FFDC"/>
    <w:lvl w:ilvl="0" w:tplc="2EA49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3CA6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3C20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C489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2D4A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6F8D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0283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1F0D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D6A1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33DD72D8"/>
    <w:multiLevelType w:val="hybridMultilevel"/>
    <w:tmpl w:val="35820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A25A2F"/>
    <w:multiLevelType w:val="multilevel"/>
    <w:tmpl w:val="2E4A2C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>
    <w:nsid w:val="36133421"/>
    <w:multiLevelType w:val="hybridMultilevel"/>
    <w:tmpl w:val="2BA0FD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EC5644"/>
    <w:multiLevelType w:val="hybridMultilevel"/>
    <w:tmpl w:val="55A401CE"/>
    <w:lvl w:ilvl="0" w:tplc="9126CC3A">
      <w:start w:val="1"/>
      <w:numFmt w:val="bullet"/>
      <w:lvlText w:null="1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6560D"/>
    <w:multiLevelType w:val="hybridMultilevel"/>
    <w:tmpl w:val="FC388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2F50517"/>
    <w:multiLevelType w:val="hybridMultilevel"/>
    <w:tmpl w:val="FE662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0C51E6"/>
    <w:multiLevelType w:val="multilevel"/>
    <w:tmpl w:val="D192761C"/>
    <w:lvl w:ilvl="0">
      <w:start w:val="1"/>
      <w:numFmt w:val="bullet"/>
      <w:pStyle w:val="AufzhlungStrich"/>
      <w:lvlText w:val="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8">
    <w:nsid w:val="4C5C1974"/>
    <w:multiLevelType w:val="multilevel"/>
    <w:tmpl w:val="5E08E8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9">
    <w:nsid w:val="4CDE1927"/>
    <w:multiLevelType w:val="hybridMultilevel"/>
    <w:tmpl w:val="29564528"/>
    <w:lvl w:ilvl="0" w:tplc="CAFA59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364C28"/>
    <w:multiLevelType w:val="hybridMultilevel"/>
    <w:tmpl w:val="5628CF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609E06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AE3F23"/>
    <w:multiLevelType w:val="hybridMultilevel"/>
    <w:tmpl w:val="D75676EC"/>
    <w:lvl w:ilvl="0" w:tplc="AA3A0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AF5A62"/>
    <w:multiLevelType w:val="hybridMultilevel"/>
    <w:tmpl w:val="899213DA"/>
    <w:lvl w:ilvl="0" w:tplc="0B10DB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425C3A"/>
    <w:multiLevelType w:val="hybridMultilevel"/>
    <w:tmpl w:val="B368245C"/>
    <w:lvl w:ilvl="0" w:tplc="6204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C082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4103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E9E8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01CE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0A6B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8EC2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A280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6D0C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4">
    <w:nsid w:val="63476CAE"/>
    <w:multiLevelType w:val="hybridMultilevel"/>
    <w:tmpl w:val="58AE5D84"/>
    <w:lvl w:ilvl="0" w:tplc="0D606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40E8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A561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15AD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F260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9A6E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FD83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1DAC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FB4F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5">
    <w:nsid w:val="6F2F3B5C"/>
    <w:multiLevelType w:val="hybridMultilevel"/>
    <w:tmpl w:val="E918FBE4"/>
    <w:lvl w:ilvl="0" w:tplc="CAFA59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3C6E78"/>
    <w:multiLevelType w:val="hybridMultilevel"/>
    <w:tmpl w:val="A12A3E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FC7BDC"/>
    <w:multiLevelType w:val="hybridMultilevel"/>
    <w:tmpl w:val="CEDA254C"/>
    <w:lvl w:ilvl="0" w:tplc="47BC8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4A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78E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9AF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0EA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943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189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FE3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181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81A5437"/>
    <w:multiLevelType w:val="hybridMultilevel"/>
    <w:tmpl w:val="198EDB74"/>
    <w:lvl w:ilvl="0" w:tplc="7E52AE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0BAA41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CBA423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C4AB9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6A418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BFCCC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9E485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ED86B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D7C78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9">
    <w:nsid w:val="7BDF6A20"/>
    <w:multiLevelType w:val="hybridMultilevel"/>
    <w:tmpl w:val="8C60CB82"/>
    <w:lvl w:ilvl="0" w:tplc="03AC1FB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0">
    <w:nsid w:val="7DFA3372"/>
    <w:multiLevelType w:val="hybridMultilevel"/>
    <w:tmpl w:val="453679A8"/>
    <w:lvl w:ilvl="0" w:tplc="4918B5F6">
      <w:start w:val="1"/>
      <w:numFmt w:val="bullet"/>
      <w:pStyle w:val="Bulletpoin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FF6600"/>
        <w:sz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0"/>
  </w:num>
  <w:num w:numId="3">
    <w:abstractNumId w:val="8"/>
  </w:num>
  <w:num w:numId="4">
    <w:abstractNumId w:val="18"/>
  </w:num>
  <w:num w:numId="5">
    <w:abstractNumId w:val="27"/>
  </w:num>
  <w:num w:numId="6">
    <w:abstractNumId w:val="2"/>
  </w:num>
  <w:num w:numId="7">
    <w:abstractNumId w:val="29"/>
  </w:num>
  <w:num w:numId="8">
    <w:abstractNumId w:val="10"/>
  </w:num>
  <w:num w:numId="9">
    <w:abstractNumId w:val="7"/>
  </w:num>
  <w:num w:numId="10">
    <w:abstractNumId w:val="21"/>
  </w:num>
  <w:num w:numId="11">
    <w:abstractNumId w:val="31"/>
  </w:num>
  <w:num w:numId="12">
    <w:abstractNumId w:val="25"/>
  </w:num>
  <w:num w:numId="13">
    <w:abstractNumId w:val="39"/>
  </w:num>
  <w:num w:numId="14">
    <w:abstractNumId w:val="23"/>
  </w:num>
  <w:num w:numId="15">
    <w:abstractNumId w:val="22"/>
  </w:num>
  <w:num w:numId="16">
    <w:abstractNumId w:val="28"/>
  </w:num>
  <w:num w:numId="17">
    <w:abstractNumId w:val="9"/>
  </w:num>
  <w:num w:numId="18">
    <w:abstractNumId w:val="5"/>
  </w:num>
  <w:num w:numId="19">
    <w:abstractNumId w:val="30"/>
  </w:num>
  <w:num w:numId="20">
    <w:abstractNumId w:val="12"/>
  </w:num>
  <w:num w:numId="21">
    <w:abstractNumId w:val="36"/>
  </w:num>
  <w:num w:numId="22">
    <w:abstractNumId w:val="24"/>
  </w:num>
  <w:num w:numId="23">
    <w:abstractNumId w:val="20"/>
  </w:num>
  <w:num w:numId="24">
    <w:abstractNumId w:val="33"/>
  </w:num>
  <w:num w:numId="25">
    <w:abstractNumId w:val="34"/>
  </w:num>
  <w:num w:numId="26">
    <w:abstractNumId w:val="4"/>
  </w:num>
  <w:num w:numId="27">
    <w:abstractNumId w:val="38"/>
  </w:num>
  <w:num w:numId="28">
    <w:abstractNumId w:val="6"/>
  </w:num>
  <w:num w:numId="29">
    <w:abstractNumId w:val="37"/>
  </w:num>
  <w:num w:numId="30">
    <w:abstractNumId w:val="0"/>
  </w:num>
  <w:num w:numId="31">
    <w:abstractNumId w:val="1"/>
  </w:num>
  <w:num w:numId="32">
    <w:abstractNumId w:val="15"/>
  </w:num>
  <w:num w:numId="33">
    <w:abstractNumId w:val="32"/>
  </w:num>
  <w:num w:numId="34">
    <w:abstractNumId w:val="14"/>
  </w:num>
  <w:num w:numId="35">
    <w:abstractNumId w:val="13"/>
  </w:num>
  <w:num w:numId="36">
    <w:abstractNumId w:val="19"/>
  </w:num>
  <w:num w:numId="37">
    <w:abstractNumId w:val="16"/>
  </w:num>
  <w:num w:numId="38">
    <w:abstractNumId w:val="11"/>
  </w:num>
  <w:num w:numId="39">
    <w:abstractNumId w:val="21"/>
  </w:num>
  <w:num w:numId="40">
    <w:abstractNumId w:val="31"/>
  </w:num>
  <w:num w:numId="41">
    <w:abstractNumId w:val="35"/>
  </w:num>
  <w:num w:numId="42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6C"/>
    <w:rsid w:val="00000B5A"/>
    <w:rsid w:val="00011AF7"/>
    <w:rsid w:val="00011CAB"/>
    <w:rsid w:val="000136F1"/>
    <w:rsid w:val="000153A0"/>
    <w:rsid w:val="00017452"/>
    <w:rsid w:val="00023BF2"/>
    <w:rsid w:val="000258E0"/>
    <w:rsid w:val="00027F2F"/>
    <w:rsid w:val="00040BA6"/>
    <w:rsid w:val="0004447D"/>
    <w:rsid w:val="00045A25"/>
    <w:rsid w:val="00052D6E"/>
    <w:rsid w:val="00054C2E"/>
    <w:rsid w:val="0005762A"/>
    <w:rsid w:val="0006145A"/>
    <w:rsid w:val="00062EC6"/>
    <w:rsid w:val="0007130D"/>
    <w:rsid w:val="00080B2B"/>
    <w:rsid w:val="00085A2D"/>
    <w:rsid w:val="00085C2F"/>
    <w:rsid w:val="000956F7"/>
    <w:rsid w:val="000B53C6"/>
    <w:rsid w:val="000C0B3B"/>
    <w:rsid w:val="000C0D4B"/>
    <w:rsid w:val="000C2B1E"/>
    <w:rsid w:val="000C35DC"/>
    <w:rsid w:val="000D46D5"/>
    <w:rsid w:val="000E402D"/>
    <w:rsid w:val="000E7925"/>
    <w:rsid w:val="000F619B"/>
    <w:rsid w:val="001006B5"/>
    <w:rsid w:val="00105263"/>
    <w:rsid w:val="00124CC4"/>
    <w:rsid w:val="001400F3"/>
    <w:rsid w:val="00143CEE"/>
    <w:rsid w:val="00153870"/>
    <w:rsid w:val="00167D91"/>
    <w:rsid w:val="001871E5"/>
    <w:rsid w:val="00195722"/>
    <w:rsid w:val="001A5142"/>
    <w:rsid w:val="001B3D02"/>
    <w:rsid w:val="001B5495"/>
    <w:rsid w:val="001D2EDD"/>
    <w:rsid w:val="001D5CB7"/>
    <w:rsid w:val="001E398B"/>
    <w:rsid w:val="001F1490"/>
    <w:rsid w:val="002077FF"/>
    <w:rsid w:val="00214D4A"/>
    <w:rsid w:val="00225757"/>
    <w:rsid w:val="00233E07"/>
    <w:rsid w:val="0024106C"/>
    <w:rsid w:val="0025009B"/>
    <w:rsid w:val="0025173C"/>
    <w:rsid w:val="0026589C"/>
    <w:rsid w:val="0027085E"/>
    <w:rsid w:val="00291E12"/>
    <w:rsid w:val="002920E9"/>
    <w:rsid w:val="00293941"/>
    <w:rsid w:val="00297982"/>
    <w:rsid w:val="00297B9B"/>
    <w:rsid w:val="002A4A45"/>
    <w:rsid w:val="002B0C47"/>
    <w:rsid w:val="002B143B"/>
    <w:rsid w:val="002B1E75"/>
    <w:rsid w:val="002B5295"/>
    <w:rsid w:val="002B6CB7"/>
    <w:rsid w:val="002B6EB7"/>
    <w:rsid w:val="002C041A"/>
    <w:rsid w:val="002C34B4"/>
    <w:rsid w:val="002C75BD"/>
    <w:rsid w:val="002D66A7"/>
    <w:rsid w:val="002D71D7"/>
    <w:rsid w:val="002D7D07"/>
    <w:rsid w:val="002E21C7"/>
    <w:rsid w:val="002E6EEB"/>
    <w:rsid w:val="002E75A3"/>
    <w:rsid w:val="002F2016"/>
    <w:rsid w:val="002F2B67"/>
    <w:rsid w:val="002F45BC"/>
    <w:rsid w:val="002F5909"/>
    <w:rsid w:val="002F60B6"/>
    <w:rsid w:val="0030099D"/>
    <w:rsid w:val="00307EED"/>
    <w:rsid w:val="00311EFE"/>
    <w:rsid w:val="003140B9"/>
    <w:rsid w:val="00316985"/>
    <w:rsid w:val="0031771D"/>
    <w:rsid w:val="00322B25"/>
    <w:rsid w:val="0033101C"/>
    <w:rsid w:val="003460D9"/>
    <w:rsid w:val="00365A23"/>
    <w:rsid w:val="00385FBB"/>
    <w:rsid w:val="00390556"/>
    <w:rsid w:val="003941C3"/>
    <w:rsid w:val="00396C58"/>
    <w:rsid w:val="003A4D98"/>
    <w:rsid w:val="003C1A8B"/>
    <w:rsid w:val="003C6DDE"/>
    <w:rsid w:val="003D387F"/>
    <w:rsid w:val="003D3A0B"/>
    <w:rsid w:val="003D4099"/>
    <w:rsid w:val="003E51F3"/>
    <w:rsid w:val="003F36F1"/>
    <w:rsid w:val="003F690D"/>
    <w:rsid w:val="00400AA8"/>
    <w:rsid w:val="00403BF5"/>
    <w:rsid w:val="00405219"/>
    <w:rsid w:val="00410801"/>
    <w:rsid w:val="0041183B"/>
    <w:rsid w:val="004131BF"/>
    <w:rsid w:val="00414A9E"/>
    <w:rsid w:val="00433AC7"/>
    <w:rsid w:val="00454C0A"/>
    <w:rsid w:val="004608F6"/>
    <w:rsid w:val="00462B93"/>
    <w:rsid w:val="00466084"/>
    <w:rsid w:val="00470CEC"/>
    <w:rsid w:val="004807AE"/>
    <w:rsid w:val="004839B1"/>
    <w:rsid w:val="00485C6C"/>
    <w:rsid w:val="004923D2"/>
    <w:rsid w:val="00493F91"/>
    <w:rsid w:val="004A14F8"/>
    <w:rsid w:val="004A332B"/>
    <w:rsid w:val="004A5421"/>
    <w:rsid w:val="004B2BC3"/>
    <w:rsid w:val="004B6FD5"/>
    <w:rsid w:val="004B73E2"/>
    <w:rsid w:val="004B7C3A"/>
    <w:rsid w:val="004D2DEA"/>
    <w:rsid w:val="004D50CA"/>
    <w:rsid w:val="004E77CD"/>
    <w:rsid w:val="004F045E"/>
    <w:rsid w:val="004F4921"/>
    <w:rsid w:val="0050027D"/>
    <w:rsid w:val="00500312"/>
    <w:rsid w:val="00503158"/>
    <w:rsid w:val="00505007"/>
    <w:rsid w:val="005060B4"/>
    <w:rsid w:val="005069DF"/>
    <w:rsid w:val="00507F2F"/>
    <w:rsid w:val="005162F4"/>
    <w:rsid w:val="00525D2A"/>
    <w:rsid w:val="00525FBB"/>
    <w:rsid w:val="00526E27"/>
    <w:rsid w:val="005338C8"/>
    <w:rsid w:val="00543CAF"/>
    <w:rsid w:val="00545C2D"/>
    <w:rsid w:val="00546298"/>
    <w:rsid w:val="00547102"/>
    <w:rsid w:val="00547F18"/>
    <w:rsid w:val="00554D5A"/>
    <w:rsid w:val="00564B8F"/>
    <w:rsid w:val="00567850"/>
    <w:rsid w:val="00575E18"/>
    <w:rsid w:val="0058187E"/>
    <w:rsid w:val="005827B6"/>
    <w:rsid w:val="00582C04"/>
    <w:rsid w:val="00586FEE"/>
    <w:rsid w:val="00591CD6"/>
    <w:rsid w:val="005973D0"/>
    <w:rsid w:val="005A4C23"/>
    <w:rsid w:val="005A72DE"/>
    <w:rsid w:val="005B40A3"/>
    <w:rsid w:val="005B6BED"/>
    <w:rsid w:val="005B7AE7"/>
    <w:rsid w:val="005C44D6"/>
    <w:rsid w:val="005D49FD"/>
    <w:rsid w:val="005E4A55"/>
    <w:rsid w:val="005F0052"/>
    <w:rsid w:val="005F0127"/>
    <w:rsid w:val="005F0759"/>
    <w:rsid w:val="00600906"/>
    <w:rsid w:val="006021DB"/>
    <w:rsid w:val="00605585"/>
    <w:rsid w:val="00607E58"/>
    <w:rsid w:val="006475AF"/>
    <w:rsid w:val="00650558"/>
    <w:rsid w:val="0065115B"/>
    <w:rsid w:val="00657500"/>
    <w:rsid w:val="00664925"/>
    <w:rsid w:val="0068578A"/>
    <w:rsid w:val="0068650E"/>
    <w:rsid w:val="00691162"/>
    <w:rsid w:val="00696450"/>
    <w:rsid w:val="006A242C"/>
    <w:rsid w:val="006E6F64"/>
    <w:rsid w:val="006F19F6"/>
    <w:rsid w:val="00700B9C"/>
    <w:rsid w:val="00702E4D"/>
    <w:rsid w:val="00704F6D"/>
    <w:rsid w:val="00714F30"/>
    <w:rsid w:val="00715D44"/>
    <w:rsid w:val="00715E10"/>
    <w:rsid w:val="00722DCF"/>
    <w:rsid w:val="00725CE1"/>
    <w:rsid w:val="0074039E"/>
    <w:rsid w:val="00747CFC"/>
    <w:rsid w:val="007543A9"/>
    <w:rsid w:val="00756A77"/>
    <w:rsid w:val="007610AD"/>
    <w:rsid w:val="0076449D"/>
    <w:rsid w:val="00764A92"/>
    <w:rsid w:val="00781767"/>
    <w:rsid w:val="00792454"/>
    <w:rsid w:val="007976FD"/>
    <w:rsid w:val="007B66C5"/>
    <w:rsid w:val="007C1921"/>
    <w:rsid w:val="007D0CA8"/>
    <w:rsid w:val="007D59F8"/>
    <w:rsid w:val="007F31A9"/>
    <w:rsid w:val="007F4E8C"/>
    <w:rsid w:val="007F703B"/>
    <w:rsid w:val="00800C62"/>
    <w:rsid w:val="008113E4"/>
    <w:rsid w:val="00812E5C"/>
    <w:rsid w:val="0082540B"/>
    <w:rsid w:val="00834513"/>
    <w:rsid w:val="00834879"/>
    <w:rsid w:val="00842C06"/>
    <w:rsid w:val="008436C8"/>
    <w:rsid w:val="00844453"/>
    <w:rsid w:val="00850E52"/>
    <w:rsid w:val="00852861"/>
    <w:rsid w:val="00864667"/>
    <w:rsid w:val="00871886"/>
    <w:rsid w:val="00872C09"/>
    <w:rsid w:val="00880934"/>
    <w:rsid w:val="0088400E"/>
    <w:rsid w:val="00884C68"/>
    <w:rsid w:val="0088603B"/>
    <w:rsid w:val="008912F2"/>
    <w:rsid w:val="0089697B"/>
    <w:rsid w:val="0089798F"/>
    <w:rsid w:val="008A4EAB"/>
    <w:rsid w:val="008A5DB2"/>
    <w:rsid w:val="008B75FC"/>
    <w:rsid w:val="008C13BD"/>
    <w:rsid w:val="008C2209"/>
    <w:rsid w:val="008C38D7"/>
    <w:rsid w:val="008C4210"/>
    <w:rsid w:val="008E4877"/>
    <w:rsid w:val="008F0150"/>
    <w:rsid w:val="008F41DF"/>
    <w:rsid w:val="009023F8"/>
    <w:rsid w:val="00902E01"/>
    <w:rsid w:val="00912BF8"/>
    <w:rsid w:val="00913774"/>
    <w:rsid w:val="00916EEA"/>
    <w:rsid w:val="00920FF1"/>
    <w:rsid w:val="009237AC"/>
    <w:rsid w:val="00924CB0"/>
    <w:rsid w:val="0092752B"/>
    <w:rsid w:val="00937C43"/>
    <w:rsid w:val="00941CF9"/>
    <w:rsid w:val="00943EB3"/>
    <w:rsid w:val="00946B2D"/>
    <w:rsid w:val="009510FD"/>
    <w:rsid w:val="00954377"/>
    <w:rsid w:val="00965A34"/>
    <w:rsid w:val="009772A5"/>
    <w:rsid w:val="00994445"/>
    <w:rsid w:val="009A2171"/>
    <w:rsid w:val="009B47AE"/>
    <w:rsid w:val="009B549B"/>
    <w:rsid w:val="009C6FB9"/>
    <w:rsid w:val="009C7769"/>
    <w:rsid w:val="009D503C"/>
    <w:rsid w:val="009D5688"/>
    <w:rsid w:val="009E0B75"/>
    <w:rsid w:val="009E68E5"/>
    <w:rsid w:val="009F352B"/>
    <w:rsid w:val="009F5B30"/>
    <w:rsid w:val="00A0281B"/>
    <w:rsid w:val="00A02D4D"/>
    <w:rsid w:val="00A14D2C"/>
    <w:rsid w:val="00A16F7D"/>
    <w:rsid w:val="00A20AAA"/>
    <w:rsid w:val="00A239DB"/>
    <w:rsid w:val="00A26499"/>
    <w:rsid w:val="00A30AD9"/>
    <w:rsid w:val="00A3526E"/>
    <w:rsid w:val="00A40874"/>
    <w:rsid w:val="00A42141"/>
    <w:rsid w:val="00A53A0C"/>
    <w:rsid w:val="00A5715A"/>
    <w:rsid w:val="00A86BAC"/>
    <w:rsid w:val="00A9127B"/>
    <w:rsid w:val="00A94ED7"/>
    <w:rsid w:val="00AA07D3"/>
    <w:rsid w:val="00AA0F83"/>
    <w:rsid w:val="00AA10C5"/>
    <w:rsid w:val="00AB4C33"/>
    <w:rsid w:val="00AE3E61"/>
    <w:rsid w:val="00AE3E99"/>
    <w:rsid w:val="00AE4C68"/>
    <w:rsid w:val="00AF0EA7"/>
    <w:rsid w:val="00AF2CE4"/>
    <w:rsid w:val="00AF69FB"/>
    <w:rsid w:val="00B078AD"/>
    <w:rsid w:val="00B07D8C"/>
    <w:rsid w:val="00B128C2"/>
    <w:rsid w:val="00B21723"/>
    <w:rsid w:val="00B23653"/>
    <w:rsid w:val="00B24486"/>
    <w:rsid w:val="00B31AF4"/>
    <w:rsid w:val="00B3230D"/>
    <w:rsid w:val="00B34580"/>
    <w:rsid w:val="00B356B8"/>
    <w:rsid w:val="00B359B1"/>
    <w:rsid w:val="00B41A47"/>
    <w:rsid w:val="00B44167"/>
    <w:rsid w:val="00B55281"/>
    <w:rsid w:val="00B55782"/>
    <w:rsid w:val="00B63C7A"/>
    <w:rsid w:val="00B64951"/>
    <w:rsid w:val="00B65EE1"/>
    <w:rsid w:val="00B660BA"/>
    <w:rsid w:val="00B70D3D"/>
    <w:rsid w:val="00B726DB"/>
    <w:rsid w:val="00B74413"/>
    <w:rsid w:val="00B94825"/>
    <w:rsid w:val="00B95665"/>
    <w:rsid w:val="00B96CF3"/>
    <w:rsid w:val="00BA10CD"/>
    <w:rsid w:val="00BA4C96"/>
    <w:rsid w:val="00BA663E"/>
    <w:rsid w:val="00BA6698"/>
    <w:rsid w:val="00BA694E"/>
    <w:rsid w:val="00BA762D"/>
    <w:rsid w:val="00BB30E2"/>
    <w:rsid w:val="00BB7A38"/>
    <w:rsid w:val="00BC64E7"/>
    <w:rsid w:val="00BC77BA"/>
    <w:rsid w:val="00BD1CD6"/>
    <w:rsid w:val="00BD6A33"/>
    <w:rsid w:val="00BE77DF"/>
    <w:rsid w:val="00BF62E5"/>
    <w:rsid w:val="00BF72DD"/>
    <w:rsid w:val="00C007DE"/>
    <w:rsid w:val="00C0500D"/>
    <w:rsid w:val="00C177CE"/>
    <w:rsid w:val="00C20773"/>
    <w:rsid w:val="00C2251B"/>
    <w:rsid w:val="00C254B0"/>
    <w:rsid w:val="00C25F11"/>
    <w:rsid w:val="00C34C69"/>
    <w:rsid w:val="00C44E30"/>
    <w:rsid w:val="00C45A30"/>
    <w:rsid w:val="00C50F97"/>
    <w:rsid w:val="00C578E6"/>
    <w:rsid w:val="00C73721"/>
    <w:rsid w:val="00C7375B"/>
    <w:rsid w:val="00C945FC"/>
    <w:rsid w:val="00C9595A"/>
    <w:rsid w:val="00C96680"/>
    <w:rsid w:val="00CA2973"/>
    <w:rsid w:val="00CA32A5"/>
    <w:rsid w:val="00CA4839"/>
    <w:rsid w:val="00CA5072"/>
    <w:rsid w:val="00CB0981"/>
    <w:rsid w:val="00CB6951"/>
    <w:rsid w:val="00CB71B5"/>
    <w:rsid w:val="00CC6A27"/>
    <w:rsid w:val="00CD3548"/>
    <w:rsid w:val="00CD50BA"/>
    <w:rsid w:val="00CE3C18"/>
    <w:rsid w:val="00CE5BF4"/>
    <w:rsid w:val="00CF1DDD"/>
    <w:rsid w:val="00D044A9"/>
    <w:rsid w:val="00D07FA5"/>
    <w:rsid w:val="00D1424F"/>
    <w:rsid w:val="00D17CA0"/>
    <w:rsid w:val="00D22B8B"/>
    <w:rsid w:val="00D312E9"/>
    <w:rsid w:val="00D321F5"/>
    <w:rsid w:val="00D51694"/>
    <w:rsid w:val="00D56EB9"/>
    <w:rsid w:val="00D65814"/>
    <w:rsid w:val="00D66449"/>
    <w:rsid w:val="00D67208"/>
    <w:rsid w:val="00D75A0E"/>
    <w:rsid w:val="00D76056"/>
    <w:rsid w:val="00DA088C"/>
    <w:rsid w:val="00DA5F65"/>
    <w:rsid w:val="00DD3E7F"/>
    <w:rsid w:val="00DD722D"/>
    <w:rsid w:val="00E00496"/>
    <w:rsid w:val="00E00AC4"/>
    <w:rsid w:val="00E12E67"/>
    <w:rsid w:val="00E139DA"/>
    <w:rsid w:val="00E16048"/>
    <w:rsid w:val="00E17C1E"/>
    <w:rsid w:val="00E17E6C"/>
    <w:rsid w:val="00E206FE"/>
    <w:rsid w:val="00E24BCA"/>
    <w:rsid w:val="00E276CE"/>
    <w:rsid w:val="00E30F54"/>
    <w:rsid w:val="00E32933"/>
    <w:rsid w:val="00E5621F"/>
    <w:rsid w:val="00E61164"/>
    <w:rsid w:val="00E714EB"/>
    <w:rsid w:val="00E74E06"/>
    <w:rsid w:val="00E75B1A"/>
    <w:rsid w:val="00E8439E"/>
    <w:rsid w:val="00E91838"/>
    <w:rsid w:val="00E9569C"/>
    <w:rsid w:val="00EA1E67"/>
    <w:rsid w:val="00EB0DEA"/>
    <w:rsid w:val="00EB275C"/>
    <w:rsid w:val="00EB3E9E"/>
    <w:rsid w:val="00EB5C3A"/>
    <w:rsid w:val="00EC1EF6"/>
    <w:rsid w:val="00ED0C48"/>
    <w:rsid w:val="00ED286F"/>
    <w:rsid w:val="00ED3186"/>
    <w:rsid w:val="00ED3B21"/>
    <w:rsid w:val="00ED5DC9"/>
    <w:rsid w:val="00EE6259"/>
    <w:rsid w:val="00EF15FE"/>
    <w:rsid w:val="00EF3764"/>
    <w:rsid w:val="00F001D6"/>
    <w:rsid w:val="00F042D7"/>
    <w:rsid w:val="00F050D2"/>
    <w:rsid w:val="00F0735C"/>
    <w:rsid w:val="00F12089"/>
    <w:rsid w:val="00F151EA"/>
    <w:rsid w:val="00F16A8A"/>
    <w:rsid w:val="00F25F48"/>
    <w:rsid w:val="00F45B89"/>
    <w:rsid w:val="00F563CF"/>
    <w:rsid w:val="00F612EE"/>
    <w:rsid w:val="00F61481"/>
    <w:rsid w:val="00F62F1A"/>
    <w:rsid w:val="00F644F5"/>
    <w:rsid w:val="00F64A38"/>
    <w:rsid w:val="00F75797"/>
    <w:rsid w:val="00F81001"/>
    <w:rsid w:val="00F87819"/>
    <w:rsid w:val="00FA384E"/>
    <w:rsid w:val="00FA7873"/>
    <w:rsid w:val="00FB2C40"/>
    <w:rsid w:val="00FB4127"/>
    <w:rsid w:val="00FB507A"/>
    <w:rsid w:val="00FC0148"/>
    <w:rsid w:val="00FC1AAD"/>
    <w:rsid w:val="00FC2CB0"/>
    <w:rsid w:val="00FD0344"/>
    <w:rsid w:val="00FD1206"/>
    <w:rsid w:val="00FE3281"/>
    <w:rsid w:val="00FE421C"/>
    <w:rsid w:val="00FF26D0"/>
    <w:rsid w:val="00FF3218"/>
    <w:rsid w:val="00FF69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79B39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List Paragraph" w:uiPriority="34" w:qFormat="1"/>
    <w:lsdException w:name="Bibliography" w:semiHidden="1" w:unhideWhenUsed="1"/>
    <w:lsdException w:name="TOC Heading" w:semiHidden="1" w:unhideWhenUsed="1"/>
  </w:latentStyles>
  <w:style w:type="paragraph" w:default="1" w:styleId="Normale">
    <w:name w:val="Normal"/>
    <w:qFormat/>
    <w:pPr>
      <w:jc w:val="both"/>
    </w:pPr>
    <w:rPr>
      <w:rFonts w:ascii="Arial" w:hAnsi="Arial"/>
      <w:sz w:val="24"/>
      <w:szCs w:val="24"/>
      <w:lang w:val="fr-FR" w:eastAsia="fr-FR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pBdr>
        <w:top w:val="single" w:sz="2" w:space="5" w:color="auto"/>
        <w:left w:val="single" w:sz="2" w:space="3" w:color="auto"/>
        <w:bottom w:val="single" w:sz="2" w:space="5" w:color="auto"/>
        <w:right w:val="single" w:sz="2" w:space="3" w:color="auto"/>
      </w:pBdr>
      <w:shd w:val="clear" w:color="auto" w:fill="FFFFFF"/>
      <w:tabs>
        <w:tab w:val="num" w:pos="720"/>
      </w:tabs>
      <w:spacing w:before="120" w:after="240"/>
      <w:ind w:left="720" w:hanging="720"/>
      <w:jc w:val="left"/>
      <w:outlineLvl w:val="0"/>
    </w:pPr>
    <w:rPr>
      <w:b/>
      <w:bCs/>
      <w:color w:val="000000"/>
      <w:sz w:val="28"/>
    </w:rPr>
  </w:style>
  <w:style w:type="paragraph" w:styleId="Titolo2">
    <w:name w:val="heading 2"/>
    <w:basedOn w:val="Normale"/>
    <w:next w:val="Normale"/>
    <w:qFormat/>
    <w:pPr>
      <w:numPr>
        <w:ilvl w:val="1"/>
        <w:numId w:val="1"/>
      </w:numPr>
      <w:spacing w:before="120" w:after="240"/>
      <w:ind w:right="301"/>
      <w:outlineLvl w:val="1"/>
    </w:pPr>
    <w:rPr>
      <w:b/>
      <w:szCs w:val="20"/>
      <w:u w:val="single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tabs>
        <w:tab w:val="right" w:leader="dot" w:pos="9639"/>
      </w:tabs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Titolo8">
    <w:name w:val="heading 8"/>
    <w:basedOn w:val="Normale"/>
    <w:next w:val="Normale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Titolo9">
    <w:name w:val="heading 9"/>
    <w:basedOn w:val="Normale"/>
    <w:next w:val="Normale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character" w:styleId="Numeropagina">
    <w:name w:val="page number"/>
    <w:basedOn w:val="Caratterepredefinitoparagrafo"/>
    <w:rPr>
      <w:rFonts w:ascii="Arial" w:hAnsi="Arial"/>
      <w:sz w:val="20"/>
    </w:rPr>
  </w:style>
  <w:style w:type="character" w:styleId="Rimandocommento">
    <w:name w:val="annotation reference"/>
    <w:basedOn w:val="Caratterepredefinitoparagrafo"/>
    <w:semiHidden/>
    <w:rPr>
      <w:sz w:val="16"/>
      <w:szCs w:val="16"/>
    </w:rPr>
  </w:style>
  <w:style w:type="paragraph" w:styleId="Testocommento">
    <w:name w:val="annotation text"/>
    <w:basedOn w:val="Normale"/>
    <w:semiHidden/>
    <w:rPr>
      <w:sz w:val="20"/>
      <w:szCs w:val="20"/>
    </w:rPr>
  </w:style>
  <w:style w:type="paragraph" w:styleId="Sommario1">
    <w:name w:val="toc 1"/>
    <w:basedOn w:val="Normale"/>
    <w:next w:val="Normale"/>
    <w:autoRedefine/>
    <w:semiHidden/>
    <w:pPr>
      <w:tabs>
        <w:tab w:val="left" w:pos="737"/>
        <w:tab w:val="right" w:leader="dot" w:pos="9639"/>
      </w:tabs>
      <w:spacing w:before="120" w:after="240"/>
      <w:jc w:val="left"/>
    </w:pPr>
    <w:rPr>
      <w:rFonts w:cs="Arial"/>
      <w:b/>
      <w:szCs w:val="26"/>
    </w:rPr>
  </w:style>
  <w:style w:type="paragraph" w:customStyle="1" w:styleId="Bulletpoint">
    <w:name w:val="Bullet point"/>
    <w:basedOn w:val="Normale"/>
    <w:pPr>
      <w:numPr>
        <w:numId w:val="2"/>
      </w:numPr>
    </w:pPr>
  </w:style>
  <w:style w:type="paragraph" w:styleId="Sommario2">
    <w:name w:val="toc 2"/>
    <w:basedOn w:val="Normale"/>
    <w:next w:val="Normale"/>
    <w:autoRedefine/>
    <w:semiHidden/>
    <w:pPr>
      <w:tabs>
        <w:tab w:val="left" w:pos="737"/>
        <w:tab w:val="right" w:leader="dot" w:pos="9639"/>
      </w:tabs>
      <w:spacing w:before="120" w:after="120"/>
      <w:jc w:val="left"/>
    </w:pPr>
    <w:rPr>
      <w:rFonts w:cs="Arial"/>
      <w:szCs w:val="20"/>
    </w:rPr>
  </w:style>
  <w:style w:type="paragraph" w:styleId="Sommario3">
    <w:name w:val="toc 3"/>
    <w:basedOn w:val="Normale"/>
    <w:next w:val="Normale"/>
    <w:autoRedefine/>
    <w:semiHidden/>
    <w:pPr>
      <w:tabs>
        <w:tab w:val="left" w:pos="737"/>
        <w:tab w:val="right" w:leader="dot" w:pos="9639"/>
      </w:tabs>
      <w:jc w:val="left"/>
    </w:pPr>
    <w:rPr>
      <w:szCs w:val="26"/>
    </w:rPr>
  </w:style>
  <w:style w:type="paragraph" w:styleId="Sommario4">
    <w:name w:val="toc 4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5">
    <w:name w:val="toc 5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6">
    <w:name w:val="toc 6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7">
    <w:name w:val="toc 7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8">
    <w:name w:val="toc 8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9">
    <w:name w:val="toc 9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character" w:styleId="Collegamentoipertestuale">
    <w:name w:val="Hyperlink"/>
    <w:basedOn w:val="Caratterepredefinitoparagrafo"/>
    <w:rPr>
      <w:rFonts w:ascii="Arial" w:hAnsi="Arial"/>
      <w:color w:val="0000FF"/>
      <w:u w:val="single"/>
    </w:rPr>
  </w:style>
  <w:style w:type="paragraph" w:styleId="Titolo">
    <w:name w:val="Title"/>
    <w:basedOn w:val="Normale"/>
    <w:qFormat/>
    <w:pPr>
      <w:pBdr>
        <w:top w:val="single" w:sz="18" w:space="1" w:color="auto"/>
        <w:bottom w:val="single" w:sz="18" w:space="1" w:color="auto"/>
      </w:pBdr>
      <w:spacing w:before="120" w:after="120"/>
      <w:jc w:val="center"/>
    </w:pPr>
    <w:rPr>
      <w:sz w:val="32"/>
    </w:rPr>
  </w:style>
  <w:style w:type="character" w:styleId="Collegamentovisitato">
    <w:name w:val="FollowedHyperlink"/>
    <w:basedOn w:val="Caratterepredefinitoparagrafo"/>
    <w:rPr>
      <w:rFonts w:ascii="Arial" w:hAnsi="Arial"/>
      <w:color w:val="800080"/>
      <w:u w:val="single"/>
    </w:rPr>
  </w:style>
  <w:style w:type="paragraph" w:customStyle="1" w:styleId="StyleTitreNonsoulignAvant3ptAprs3ptHautTrai">
    <w:name w:val="Style Titre + Non souligné Avant : 3 pt Après : 3 pt Haut: (Trai..."/>
    <w:basedOn w:val="Titolo"/>
    <w:pPr>
      <w:pBdr>
        <w:top w:val="single" w:sz="12" w:space="3" w:color="auto"/>
        <w:bottom w:val="single" w:sz="12" w:space="3" w:color="auto"/>
      </w:pBdr>
      <w:spacing w:before="60" w:after="60"/>
    </w:pPr>
  </w:style>
  <w:style w:type="paragraph" w:customStyle="1" w:styleId="Casetitre">
    <w:name w:val="Case_titre"/>
    <w:basedOn w:val="Normale"/>
    <w:next w:val="Normale"/>
    <w:pPr>
      <w:spacing w:before="120" w:after="120"/>
    </w:pPr>
    <w:rPr>
      <w:b/>
      <w:smallCaps/>
      <w:color w:val="333399"/>
    </w:rPr>
  </w:style>
  <w:style w:type="paragraph" w:styleId="NormaleWeb">
    <w:name w:val="Normal (Web)"/>
    <w:basedOn w:val="Normale"/>
    <w:uiPriority w:val="99"/>
    <w:rsid w:val="004A5111"/>
    <w:pPr>
      <w:spacing w:before="100" w:beforeAutospacing="1" w:after="100" w:afterAutospacing="1"/>
      <w:jc w:val="left"/>
    </w:pPr>
    <w:rPr>
      <w:rFonts w:ascii="Times New Roman" w:eastAsia="SimSun" w:hAnsi="Times New Roman"/>
      <w:lang w:eastAsia="zh-CN"/>
    </w:rPr>
  </w:style>
  <w:style w:type="paragraph" w:styleId="Corpodeltesto">
    <w:name w:val="Body Text"/>
    <w:basedOn w:val="Normale"/>
    <w:pPr>
      <w:jc w:val="left"/>
    </w:pPr>
  </w:style>
  <w:style w:type="paragraph" w:customStyle="1" w:styleId="Style1">
    <w:name w:val="Style1"/>
    <w:basedOn w:val="Normale"/>
    <w:pPr>
      <w:numPr>
        <w:numId w:val="4"/>
      </w:numPr>
    </w:pPr>
  </w:style>
  <w:style w:type="paragraph" w:customStyle="1" w:styleId="Bulletronde">
    <w:name w:val="Bullet ronde"/>
    <w:basedOn w:val="Normale"/>
    <w:pPr>
      <w:numPr>
        <w:numId w:val="3"/>
      </w:numPr>
      <w:tabs>
        <w:tab w:val="clear" w:pos="1428"/>
        <w:tab w:val="num" w:pos="1260"/>
      </w:tabs>
      <w:ind w:left="1260" w:hanging="540"/>
    </w:pPr>
    <w:rPr>
      <w:lang w:val="en-US"/>
    </w:rPr>
  </w:style>
  <w:style w:type="paragraph" w:customStyle="1" w:styleId="Bullettiret">
    <w:name w:val="Bullet tiret"/>
    <w:basedOn w:val="Normale"/>
    <w:pPr>
      <w:tabs>
        <w:tab w:val="left" w:pos="1077"/>
      </w:tabs>
    </w:pPr>
  </w:style>
  <w:style w:type="paragraph" w:customStyle="1" w:styleId="Standardsmall">
    <w:name w:val="Standard small"/>
    <w:basedOn w:val="Normale"/>
    <w:rsid w:val="00606BA0"/>
    <w:pPr>
      <w:spacing w:before="140" w:line="220" w:lineRule="exact"/>
      <w:jc w:val="left"/>
    </w:pPr>
    <w:rPr>
      <w:rFonts w:ascii="Times New Roman" w:hAnsi="Times New Roman"/>
      <w:sz w:val="20"/>
      <w:szCs w:val="20"/>
      <w:lang w:val="de-DE" w:eastAsia="it-IT"/>
    </w:rPr>
  </w:style>
  <w:style w:type="paragraph" w:customStyle="1" w:styleId="AufzhlungStrich">
    <w:name w:val="Aufzählung Strich"/>
    <w:basedOn w:val="Normale"/>
    <w:rsid w:val="0072008C"/>
    <w:pPr>
      <w:numPr>
        <w:numId w:val="5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line="240" w:lineRule="exact"/>
      <w:jc w:val="left"/>
    </w:pPr>
    <w:rPr>
      <w:rFonts w:ascii="Times New Roman" w:hAnsi="Times New Roman"/>
      <w:szCs w:val="20"/>
      <w:lang w:val="de-DE" w:eastAsia="de-DE"/>
    </w:rPr>
  </w:style>
  <w:style w:type="paragraph" w:customStyle="1" w:styleId="TabelleInhalt">
    <w:name w:val="Tabelle Inhalt"/>
    <w:basedOn w:val="Normale"/>
    <w:rsid w:val="0072008C"/>
    <w:pPr>
      <w:spacing w:before="40" w:after="40" w:line="240" w:lineRule="exact"/>
      <w:jc w:val="left"/>
    </w:pPr>
    <w:rPr>
      <w:rFonts w:ascii="Times New Roman" w:hAnsi="Times New Roman"/>
      <w:sz w:val="20"/>
      <w:szCs w:val="20"/>
      <w:lang w:val="de-DE" w:eastAsia="de-DE"/>
    </w:rPr>
  </w:style>
  <w:style w:type="paragraph" w:styleId="Testofumetto">
    <w:name w:val="Balloon Text"/>
    <w:basedOn w:val="Normale"/>
    <w:link w:val="TestofumettoCarattere"/>
    <w:rsid w:val="000E792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rsid w:val="000E7925"/>
    <w:rPr>
      <w:rFonts w:ascii="Lucida Grande" w:hAnsi="Lucida Grande" w:cs="Lucida Grande"/>
      <w:sz w:val="18"/>
      <w:szCs w:val="18"/>
      <w:lang w:val="fr-FR" w:eastAsia="fr-FR"/>
    </w:rPr>
  </w:style>
  <w:style w:type="paragraph" w:customStyle="1" w:styleId="BodyCopy">
    <w:name w:val="BodyCopy"/>
    <w:basedOn w:val="Normale"/>
    <w:rsid w:val="00D1424F"/>
    <w:pPr>
      <w:spacing w:before="240"/>
      <w:jc w:val="left"/>
    </w:pPr>
    <w:rPr>
      <w:rFonts w:eastAsia="Batang"/>
      <w:sz w:val="22"/>
      <w:szCs w:val="20"/>
      <w:lang w:val="en-GB" w:eastAsia="nl-NL"/>
    </w:rPr>
  </w:style>
  <w:style w:type="paragraph" w:styleId="Paragrafoelenco">
    <w:name w:val="List Paragraph"/>
    <w:basedOn w:val="Normale"/>
    <w:uiPriority w:val="34"/>
    <w:qFormat/>
    <w:rsid w:val="00CD3548"/>
    <w:pPr>
      <w:ind w:left="720"/>
      <w:contextualSpacing/>
    </w:pPr>
  </w:style>
  <w:style w:type="table" w:styleId="Grigliatabella">
    <w:name w:val="Table Grid"/>
    <w:basedOn w:val="Tabellanormale"/>
    <w:rsid w:val="00C17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80B2B"/>
    <w:rPr>
      <w:color w:val="605E5C"/>
      <w:shd w:val="clear" w:color="auto" w:fill="E1DFDD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A16F7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List Paragraph" w:uiPriority="34" w:qFormat="1"/>
    <w:lsdException w:name="Bibliography" w:semiHidden="1" w:unhideWhenUsed="1"/>
    <w:lsdException w:name="TOC Heading" w:semiHidden="1" w:unhideWhenUsed="1"/>
  </w:latentStyles>
  <w:style w:type="paragraph" w:default="1" w:styleId="Normale">
    <w:name w:val="Normal"/>
    <w:qFormat/>
    <w:pPr>
      <w:jc w:val="both"/>
    </w:pPr>
    <w:rPr>
      <w:rFonts w:ascii="Arial" w:hAnsi="Arial"/>
      <w:sz w:val="24"/>
      <w:szCs w:val="24"/>
      <w:lang w:val="fr-FR" w:eastAsia="fr-FR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pBdr>
        <w:top w:val="single" w:sz="2" w:space="5" w:color="auto"/>
        <w:left w:val="single" w:sz="2" w:space="3" w:color="auto"/>
        <w:bottom w:val="single" w:sz="2" w:space="5" w:color="auto"/>
        <w:right w:val="single" w:sz="2" w:space="3" w:color="auto"/>
      </w:pBdr>
      <w:shd w:val="clear" w:color="auto" w:fill="FFFFFF"/>
      <w:tabs>
        <w:tab w:val="num" w:pos="720"/>
      </w:tabs>
      <w:spacing w:before="120" w:after="240"/>
      <w:ind w:left="720" w:hanging="720"/>
      <w:jc w:val="left"/>
      <w:outlineLvl w:val="0"/>
    </w:pPr>
    <w:rPr>
      <w:b/>
      <w:bCs/>
      <w:color w:val="000000"/>
      <w:sz w:val="28"/>
    </w:rPr>
  </w:style>
  <w:style w:type="paragraph" w:styleId="Titolo2">
    <w:name w:val="heading 2"/>
    <w:basedOn w:val="Normale"/>
    <w:next w:val="Normale"/>
    <w:qFormat/>
    <w:pPr>
      <w:numPr>
        <w:ilvl w:val="1"/>
        <w:numId w:val="1"/>
      </w:numPr>
      <w:spacing w:before="120" w:after="240"/>
      <w:ind w:right="301"/>
      <w:outlineLvl w:val="1"/>
    </w:pPr>
    <w:rPr>
      <w:b/>
      <w:szCs w:val="20"/>
      <w:u w:val="single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tabs>
        <w:tab w:val="right" w:leader="dot" w:pos="9639"/>
      </w:tabs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Titolo8">
    <w:name w:val="heading 8"/>
    <w:basedOn w:val="Normale"/>
    <w:next w:val="Normale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Titolo9">
    <w:name w:val="heading 9"/>
    <w:basedOn w:val="Normale"/>
    <w:next w:val="Normale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character" w:styleId="Numeropagina">
    <w:name w:val="page number"/>
    <w:basedOn w:val="Caratterepredefinitoparagrafo"/>
    <w:rPr>
      <w:rFonts w:ascii="Arial" w:hAnsi="Arial"/>
      <w:sz w:val="20"/>
    </w:rPr>
  </w:style>
  <w:style w:type="character" w:styleId="Rimandocommento">
    <w:name w:val="annotation reference"/>
    <w:basedOn w:val="Caratterepredefinitoparagrafo"/>
    <w:semiHidden/>
    <w:rPr>
      <w:sz w:val="16"/>
      <w:szCs w:val="16"/>
    </w:rPr>
  </w:style>
  <w:style w:type="paragraph" w:styleId="Testocommento">
    <w:name w:val="annotation text"/>
    <w:basedOn w:val="Normale"/>
    <w:semiHidden/>
    <w:rPr>
      <w:sz w:val="20"/>
      <w:szCs w:val="20"/>
    </w:rPr>
  </w:style>
  <w:style w:type="paragraph" w:styleId="Sommario1">
    <w:name w:val="toc 1"/>
    <w:basedOn w:val="Normale"/>
    <w:next w:val="Normale"/>
    <w:autoRedefine/>
    <w:semiHidden/>
    <w:pPr>
      <w:tabs>
        <w:tab w:val="left" w:pos="737"/>
        <w:tab w:val="right" w:leader="dot" w:pos="9639"/>
      </w:tabs>
      <w:spacing w:before="120" w:after="240"/>
      <w:jc w:val="left"/>
    </w:pPr>
    <w:rPr>
      <w:rFonts w:cs="Arial"/>
      <w:b/>
      <w:szCs w:val="26"/>
    </w:rPr>
  </w:style>
  <w:style w:type="paragraph" w:customStyle="1" w:styleId="Bulletpoint">
    <w:name w:val="Bullet point"/>
    <w:basedOn w:val="Normale"/>
    <w:pPr>
      <w:numPr>
        <w:numId w:val="2"/>
      </w:numPr>
    </w:pPr>
  </w:style>
  <w:style w:type="paragraph" w:styleId="Sommario2">
    <w:name w:val="toc 2"/>
    <w:basedOn w:val="Normale"/>
    <w:next w:val="Normale"/>
    <w:autoRedefine/>
    <w:semiHidden/>
    <w:pPr>
      <w:tabs>
        <w:tab w:val="left" w:pos="737"/>
        <w:tab w:val="right" w:leader="dot" w:pos="9639"/>
      </w:tabs>
      <w:spacing w:before="120" w:after="120"/>
      <w:jc w:val="left"/>
    </w:pPr>
    <w:rPr>
      <w:rFonts w:cs="Arial"/>
      <w:szCs w:val="20"/>
    </w:rPr>
  </w:style>
  <w:style w:type="paragraph" w:styleId="Sommario3">
    <w:name w:val="toc 3"/>
    <w:basedOn w:val="Normale"/>
    <w:next w:val="Normale"/>
    <w:autoRedefine/>
    <w:semiHidden/>
    <w:pPr>
      <w:tabs>
        <w:tab w:val="left" w:pos="737"/>
        <w:tab w:val="right" w:leader="dot" w:pos="9639"/>
      </w:tabs>
      <w:jc w:val="left"/>
    </w:pPr>
    <w:rPr>
      <w:szCs w:val="26"/>
    </w:rPr>
  </w:style>
  <w:style w:type="paragraph" w:styleId="Sommario4">
    <w:name w:val="toc 4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5">
    <w:name w:val="toc 5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6">
    <w:name w:val="toc 6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7">
    <w:name w:val="toc 7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8">
    <w:name w:val="toc 8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9">
    <w:name w:val="toc 9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character" w:styleId="Collegamentoipertestuale">
    <w:name w:val="Hyperlink"/>
    <w:basedOn w:val="Caratterepredefinitoparagrafo"/>
    <w:rPr>
      <w:rFonts w:ascii="Arial" w:hAnsi="Arial"/>
      <w:color w:val="0000FF"/>
      <w:u w:val="single"/>
    </w:rPr>
  </w:style>
  <w:style w:type="paragraph" w:styleId="Titolo">
    <w:name w:val="Title"/>
    <w:basedOn w:val="Normale"/>
    <w:qFormat/>
    <w:pPr>
      <w:pBdr>
        <w:top w:val="single" w:sz="18" w:space="1" w:color="auto"/>
        <w:bottom w:val="single" w:sz="18" w:space="1" w:color="auto"/>
      </w:pBdr>
      <w:spacing w:before="120" w:after="120"/>
      <w:jc w:val="center"/>
    </w:pPr>
    <w:rPr>
      <w:sz w:val="32"/>
    </w:rPr>
  </w:style>
  <w:style w:type="character" w:styleId="Collegamentovisitato">
    <w:name w:val="FollowedHyperlink"/>
    <w:basedOn w:val="Caratterepredefinitoparagrafo"/>
    <w:rPr>
      <w:rFonts w:ascii="Arial" w:hAnsi="Arial"/>
      <w:color w:val="800080"/>
      <w:u w:val="single"/>
    </w:rPr>
  </w:style>
  <w:style w:type="paragraph" w:customStyle="1" w:styleId="StyleTitreNonsoulignAvant3ptAprs3ptHautTrai">
    <w:name w:val="Style Titre + Non souligné Avant : 3 pt Après : 3 pt Haut: (Trai..."/>
    <w:basedOn w:val="Titolo"/>
    <w:pPr>
      <w:pBdr>
        <w:top w:val="single" w:sz="12" w:space="3" w:color="auto"/>
        <w:bottom w:val="single" w:sz="12" w:space="3" w:color="auto"/>
      </w:pBdr>
      <w:spacing w:before="60" w:after="60"/>
    </w:pPr>
  </w:style>
  <w:style w:type="paragraph" w:customStyle="1" w:styleId="Casetitre">
    <w:name w:val="Case_titre"/>
    <w:basedOn w:val="Normale"/>
    <w:next w:val="Normale"/>
    <w:pPr>
      <w:spacing w:before="120" w:after="120"/>
    </w:pPr>
    <w:rPr>
      <w:b/>
      <w:smallCaps/>
      <w:color w:val="333399"/>
    </w:rPr>
  </w:style>
  <w:style w:type="paragraph" w:styleId="NormaleWeb">
    <w:name w:val="Normal (Web)"/>
    <w:basedOn w:val="Normale"/>
    <w:uiPriority w:val="99"/>
    <w:rsid w:val="004A5111"/>
    <w:pPr>
      <w:spacing w:before="100" w:beforeAutospacing="1" w:after="100" w:afterAutospacing="1"/>
      <w:jc w:val="left"/>
    </w:pPr>
    <w:rPr>
      <w:rFonts w:ascii="Times New Roman" w:eastAsia="SimSun" w:hAnsi="Times New Roman"/>
      <w:lang w:eastAsia="zh-CN"/>
    </w:rPr>
  </w:style>
  <w:style w:type="paragraph" w:styleId="Corpodeltesto">
    <w:name w:val="Body Text"/>
    <w:basedOn w:val="Normale"/>
    <w:pPr>
      <w:jc w:val="left"/>
    </w:pPr>
  </w:style>
  <w:style w:type="paragraph" w:customStyle="1" w:styleId="Style1">
    <w:name w:val="Style1"/>
    <w:basedOn w:val="Normale"/>
    <w:pPr>
      <w:numPr>
        <w:numId w:val="4"/>
      </w:numPr>
    </w:pPr>
  </w:style>
  <w:style w:type="paragraph" w:customStyle="1" w:styleId="Bulletronde">
    <w:name w:val="Bullet ronde"/>
    <w:basedOn w:val="Normale"/>
    <w:pPr>
      <w:numPr>
        <w:numId w:val="3"/>
      </w:numPr>
      <w:tabs>
        <w:tab w:val="clear" w:pos="1428"/>
        <w:tab w:val="num" w:pos="1260"/>
      </w:tabs>
      <w:ind w:left="1260" w:hanging="540"/>
    </w:pPr>
    <w:rPr>
      <w:lang w:val="en-US"/>
    </w:rPr>
  </w:style>
  <w:style w:type="paragraph" w:customStyle="1" w:styleId="Bullettiret">
    <w:name w:val="Bullet tiret"/>
    <w:basedOn w:val="Normale"/>
    <w:pPr>
      <w:tabs>
        <w:tab w:val="left" w:pos="1077"/>
      </w:tabs>
    </w:pPr>
  </w:style>
  <w:style w:type="paragraph" w:customStyle="1" w:styleId="Standardsmall">
    <w:name w:val="Standard small"/>
    <w:basedOn w:val="Normale"/>
    <w:rsid w:val="00606BA0"/>
    <w:pPr>
      <w:spacing w:before="140" w:line="220" w:lineRule="exact"/>
      <w:jc w:val="left"/>
    </w:pPr>
    <w:rPr>
      <w:rFonts w:ascii="Times New Roman" w:hAnsi="Times New Roman"/>
      <w:sz w:val="20"/>
      <w:szCs w:val="20"/>
      <w:lang w:val="de-DE" w:eastAsia="it-IT"/>
    </w:rPr>
  </w:style>
  <w:style w:type="paragraph" w:customStyle="1" w:styleId="AufzhlungStrich">
    <w:name w:val="Aufzählung Strich"/>
    <w:basedOn w:val="Normale"/>
    <w:rsid w:val="0072008C"/>
    <w:pPr>
      <w:numPr>
        <w:numId w:val="5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line="240" w:lineRule="exact"/>
      <w:jc w:val="left"/>
    </w:pPr>
    <w:rPr>
      <w:rFonts w:ascii="Times New Roman" w:hAnsi="Times New Roman"/>
      <w:szCs w:val="20"/>
      <w:lang w:val="de-DE" w:eastAsia="de-DE"/>
    </w:rPr>
  </w:style>
  <w:style w:type="paragraph" w:customStyle="1" w:styleId="TabelleInhalt">
    <w:name w:val="Tabelle Inhalt"/>
    <w:basedOn w:val="Normale"/>
    <w:rsid w:val="0072008C"/>
    <w:pPr>
      <w:spacing w:before="40" w:after="40" w:line="240" w:lineRule="exact"/>
      <w:jc w:val="left"/>
    </w:pPr>
    <w:rPr>
      <w:rFonts w:ascii="Times New Roman" w:hAnsi="Times New Roman"/>
      <w:sz w:val="20"/>
      <w:szCs w:val="20"/>
      <w:lang w:val="de-DE" w:eastAsia="de-DE"/>
    </w:rPr>
  </w:style>
  <w:style w:type="paragraph" w:styleId="Testofumetto">
    <w:name w:val="Balloon Text"/>
    <w:basedOn w:val="Normale"/>
    <w:link w:val="TestofumettoCarattere"/>
    <w:rsid w:val="000E792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rsid w:val="000E7925"/>
    <w:rPr>
      <w:rFonts w:ascii="Lucida Grande" w:hAnsi="Lucida Grande" w:cs="Lucida Grande"/>
      <w:sz w:val="18"/>
      <w:szCs w:val="18"/>
      <w:lang w:val="fr-FR" w:eastAsia="fr-FR"/>
    </w:rPr>
  </w:style>
  <w:style w:type="paragraph" w:customStyle="1" w:styleId="BodyCopy">
    <w:name w:val="BodyCopy"/>
    <w:basedOn w:val="Normale"/>
    <w:rsid w:val="00D1424F"/>
    <w:pPr>
      <w:spacing w:before="240"/>
      <w:jc w:val="left"/>
    </w:pPr>
    <w:rPr>
      <w:rFonts w:eastAsia="Batang"/>
      <w:sz w:val="22"/>
      <w:szCs w:val="20"/>
      <w:lang w:val="en-GB" w:eastAsia="nl-NL"/>
    </w:rPr>
  </w:style>
  <w:style w:type="paragraph" w:styleId="Paragrafoelenco">
    <w:name w:val="List Paragraph"/>
    <w:basedOn w:val="Normale"/>
    <w:uiPriority w:val="34"/>
    <w:qFormat/>
    <w:rsid w:val="00CD3548"/>
    <w:pPr>
      <w:ind w:left="720"/>
      <w:contextualSpacing/>
    </w:pPr>
  </w:style>
  <w:style w:type="table" w:styleId="Grigliatabella">
    <w:name w:val="Table Grid"/>
    <w:basedOn w:val="Tabellanormale"/>
    <w:rsid w:val="00C17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80B2B"/>
    <w:rPr>
      <w:color w:val="605E5C"/>
      <w:shd w:val="clear" w:color="auto" w:fill="E1DFDD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A16F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0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97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1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3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1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3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6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2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9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4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yperlink" Target="mailto:baba@babaconsulting.com" TargetMode="External"/><Relationship Id="rId21" Type="http://schemas.openxmlformats.org/officeDocument/2006/relationships/header" Target="head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hyperlink" Target="http://www.babaconsulting.com/" TargetMode="External"/><Relationship Id="rId14" Type="http://schemas.openxmlformats.org/officeDocument/2006/relationships/image" Target="media/image3.tiff"/><Relationship Id="rId15" Type="http://schemas.openxmlformats.org/officeDocument/2006/relationships/hyperlink" Target="https://www.lolesports.com/en_US/" TargetMode="External"/><Relationship Id="rId16" Type="http://schemas.openxmlformats.org/officeDocument/2006/relationships/hyperlink" Target="https://www.alizila.com/alibaba-unveils-new-service-robot-for-hotels/" TargetMode="External"/><Relationship Id="rId17" Type="http://schemas.openxmlformats.org/officeDocument/2006/relationships/hyperlink" Target="https://schwarzjulia.com/unseen-edible" TargetMode="External"/><Relationship Id="rId18" Type="http://schemas.openxmlformats.org/officeDocument/2006/relationships/hyperlink" Target="https://www.blindnessstudio.com/fall-winter-18" TargetMode="External"/><Relationship Id="rId19" Type="http://schemas.openxmlformats.org/officeDocument/2006/relationships/hyperlink" Target="https://www.davidpompa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Fax%20type%20Nath%20PC200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\WINDOWS\Application Data\Microsoft\Modèles\Fax type Nath PC2001.dot</Template>
  <TotalTime>131</TotalTime>
  <Pages>4</Pages>
  <Words>1017</Words>
  <Characters>5797</Characters>
  <Application>Microsoft Macintosh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FAX/E-MAIL TO</vt:lpstr>
      <vt:lpstr>FAX/E-MAIL TO</vt:lpstr>
    </vt:vector>
  </TitlesOfParts>
  <Company>DEDICATED RESEARCH</Company>
  <LinksUpToDate>false</LinksUpToDate>
  <CharactersWithSpaces>6801</CharactersWithSpaces>
  <SharedDoc>false</SharedDoc>
  <HLinks>
    <vt:vector size="12" baseType="variant">
      <vt:variant>
        <vt:i4>3997716</vt:i4>
      </vt:variant>
      <vt:variant>
        <vt:i4>3840</vt:i4>
      </vt:variant>
      <vt:variant>
        <vt:i4>1026</vt:i4>
      </vt:variant>
      <vt:variant>
        <vt:i4>1</vt:i4>
      </vt:variant>
      <vt:variant>
        <vt:lpwstr>Dedi 14</vt:lpwstr>
      </vt:variant>
      <vt:variant>
        <vt:lpwstr/>
      </vt:variant>
      <vt:variant>
        <vt:i4>2162729</vt:i4>
      </vt:variant>
      <vt:variant>
        <vt:i4>3916</vt:i4>
      </vt:variant>
      <vt:variant>
        <vt:i4>1025</vt:i4>
      </vt:variant>
      <vt:variant>
        <vt:i4>1</vt:i4>
      </vt:variant>
      <vt:variant>
        <vt:lpwstr>LOGO GRIGIO chiaro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FAX/E-MAIL TO</dc:title>
  <dc:subject/>
  <dc:creator>Nathalie</dc:creator>
  <cp:keywords/>
  <dc:description/>
  <cp:lastModifiedBy>Giulia</cp:lastModifiedBy>
  <cp:revision>35</cp:revision>
  <cp:lastPrinted>2018-02-19T11:00:00Z</cp:lastPrinted>
  <dcterms:created xsi:type="dcterms:W3CDTF">2018-02-28T16:20:00Z</dcterms:created>
  <dcterms:modified xsi:type="dcterms:W3CDTF">2018-12-18T15:08:00Z</dcterms:modified>
</cp:coreProperties>
</file>